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AC6E" w14:textId="35FD27E0" w:rsidR="00D37A37" w:rsidRPr="00F57987" w:rsidRDefault="00D37A37" w:rsidP="00D37A37">
      <w:pPr>
        <w:pStyle w:val="Title"/>
        <w:rPr>
          <w:rFonts w:cs="Arial"/>
          <w:sz w:val="44"/>
          <w:szCs w:val="48"/>
        </w:rPr>
      </w:pPr>
      <w:r w:rsidRPr="00F57987">
        <w:rPr>
          <w:rFonts w:cs="Arial"/>
          <w:sz w:val="44"/>
          <w:szCs w:val="48"/>
        </w:rPr>
        <w:t xml:space="preserve">Office of Drug Control </w:t>
      </w:r>
    </w:p>
    <w:p w14:paraId="1F64E73B" w14:textId="77777777" w:rsidR="00D37A37" w:rsidRPr="00F57987" w:rsidRDefault="00D37A37" w:rsidP="00D37A37">
      <w:pPr>
        <w:pStyle w:val="Subtitle"/>
        <w:rPr>
          <w:rFonts w:cs="Arial"/>
        </w:rPr>
      </w:pPr>
      <w:r w:rsidRPr="00F57987">
        <w:rPr>
          <w:rFonts w:cs="Arial"/>
        </w:rPr>
        <w:t xml:space="preserve">Compliance &amp; Enforcement Framework </w:t>
      </w:r>
    </w:p>
    <w:p w14:paraId="7D079227" w14:textId="65887D7A" w:rsidR="00D37A37" w:rsidRPr="00F57987" w:rsidRDefault="00D37A37" w:rsidP="00D37A37">
      <w:pPr>
        <w:pStyle w:val="Subtitle"/>
        <w:rPr>
          <w:rFonts w:cs="Arial"/>
        </w:rPr>
      </w:pPr>
      <w:r w:rsidRPr="00F57987">
        <w:rPr>
          <w:rFonts w:cs="Arial"/>
        </w:rPr>
        <w:t>202</w:t>
      </w:r>
      <w:r w:rsidR="00CE0CA1">
        <w:rPr>
          <w:rFonts w:cs="Arial"/>
        </w:rPr>
        <w:t>5</w:t>
      </w:r>
      <w:r w:rsidRPr="00F57987">
        <w:rPr>
          <w:rFonts w:cs="Arial"/>
        </w:rPr>
        <w:t xml:space="preserve"> </w:t>
      </w:r>
      <w:r w:rsidR="00C24A6F">
        <w:rPr>
          <w:rFonts w:cs="Arial"/>
        </w:rPr>
        <w:t>–</w:t>
      </w:r>
      <w:r w:rsidRPr="00F57987">
        <w:rPr>
          <w:rFonts w:cs="Arial"/>
        </w:rPr>
        <w:t xml:space="preserve"> 202</w:t>
      </w:r>
      <w:r w:rsidR="00CE0CA1">
        <w:rPr>
          <w:rFonts w:cs="Arial"/>
        </w:rPr>
        <w:t>8</w:t>
      </w:r>
    </w:p>
    <w:p w14:paraId="267EEC90" w14:textId="3165ABEA" w:rsidR="00D37A37" w:rsidRPr="00F57987" w:rsidRDefault="00D37A37" w:rsidP="00D37A37">
      <w:pPr>
        <w:pStyle w:val="Date"/>
        <w:rPr>
          <w:rFonts w:ascii="Arial" w:hAnsi="Arial" w:cs="Arial"/>
        </w:rPr>
      </w:pPr>
      <w:r w:rsidRPr="00F57987">
        <w:rPr>
          <w:rFonts w:ascii="Arial" w:hAnsi="Arial" w:cs="Arial"/>
        </w:rPr>
        <w:t xml:space="preserve">Version 1.0, </w:t>
      </w:r>
      <w:r w:rsidR="00617F64">
        <w:rPr>
          <w:rFonts w:ascii="Arial" w:hAnsi="Arial" w:cs="Arial"/>
        </w:rPr>
        <w:t>December</w:t>
      </w:r>
      <w:r w:rsidR="00C24A6F" w:rsidRPr="00F57987">
        <w:rPr>
          <w:rFonts w:ascii="Arial" w:hAnsi="Arial" w:cs="Arial"/>
        </w:rPr>
        <w:t xml:space="preserve"> </w:t>
      </w:r>
      <w:r w:rsidRPr="00F57987">
        <w:rPr>
          <w:rFonts w:ascii="Arial" w:hAnsi="Arial" w:cs="Arial"/>
        </w:rPr>
        <w:t>202</w:t>
      </w:r>
      <w:r w:rsidR="00CE0CA1">
        <w:rPr>
          <w:rFonts w:ascii="Arial" w:hAnsi="Arial" w:cs="Arial"/>
        </w:rPr>
        <w:t>5</w:t>
      </w:r>
    </w:p>
    <w:p w14:paraId="0425EE06" w14:textId="77777777" w:rsidR="00D37A37" w:rsidRPr="00F57987" w:rsidRDefault="00D37A37">
      <w:pPr>
        <w:rPr>
          <w:rFonts w:ascii="Arial" w:hAnsi="Arial" w:cs="Arial"/>
        </w:rPr>
      </w:pPr>
    </w:p>
    <w:p w14:paraId="576BFBFB" w14:textId="290A38C5" w:rsidR="00D37A37" w:rsidRPr="00F57987" w:rsidRDefault="00D37A37">
      <w:pPr>
        <w:rPr>
          <w:rFonts w:ascii="Arial" w:hAnsi="Arial" w:cs="Arial"/>
        </w:rPr>
      </w:pPr>
      <w:r w:rsidRPr="00F57987">
        <w:rPr>
          <w:rFonts w:ascii="Arial" w:hAnsi="Arial" w:cs="Arial"/>
          <w:noProof/>
        </w:rPr>
        <w:drawing>
          <wp:inline distT="0" distB="0" distL="0" distR="0" wp14:anchorId="4FD1B25A" wp14:editId="0D8C3852">
            <wp:extent cx="5731510" cy="4105275"/>
            <wp:effectExtent l="0" t="0" r="2540"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05275"/>
                    </a:xfrm>
                    <a:prstGeom prst="rect">
                      <a:avLst/>
                    </a:prstGeom>
                    <a:noFill/>
                    <a:ln>
                      <a:noFill/>
                    </a:ln>
                  </pic:spPr>
                </pic:pic>
              </a:graphicData>
            </a:graphic>
          </wp:inline>
        </w:drawing>
      </w:r>
    </w:p>
    <w:p w14:paraId="669EF8EE" w14:textId="3852B163" w:rsidR="00D37A37" w:rsidRPr="00F57987" w:rsidRDefault="00D37A37">
      <w:pPr>
        <w:rPr>
          <w:rFonts w:ascii="Arial" w:hAnsi="Arial" w:cs="Arial"/>
        </w:rPr>
      </w:pPr>
      <w:r w:rsidRPr="00F57987">
        <w:rPr>
          <w:rFonts w:ascii="Arial" w:hAnsi="Arial" w:cs="Arial"/>
        </w:rPr>
        <w:br w:type="page"/>
      </w:r>
    </w:p>
    <w:p w14:paraId="621F3E47" w14:textId="597AE2DD" w:rsidR="00D37A37" w:rsidRDefault="00D37A37" w:rsidP="00D37A37">
      <w:pPr>
        <w:pStyle w:val="LegalSubheading"/>
        <w:rPr>
          <w:rFonts w:ascii="Arial" w:hAnsi="Arial" w:cs="Arial"/>
          <w:b/>
          <w:bCs/>
        </w:rPr>
      </w:pPr>
      <w:r w:rsidRPr="00021498">
        <w:rPr>
          <w:rFonts w:ascii="Arial" w:hAnsi="Arial" w:cs="Arial"/>
          <w:b/>
          <w:bCs/>
        </w:rPr>
        <w:lastRenderedPageBreak/>
        <w:t>Ownership of intellectual property rights</w:t>
      </w:r>
    </w:p>
    <w:p w14:paraId="5A5E2501" w14:textId="77777777" w:rsidR="00021498" w:rsidRPr="00021498" w:rsidRDefault="00021498" w:rsidP="00021498"/>
    <w:p w14:paraId="7042A471" w14:textId="56887512" w:rsidR="00021498" w:rsidRDefault="00D37A37" w:rsidP="00D37A37">
      <w:pPr>
        <w:rPr>
          <w:rFonts w:ascii="Arial" w:hAnsi="Arial" w:cs="Arial"/>
          <w:color w:val="58595B"/>
          <w:sz w:val="21"/>
          <w:szCs w:val="21"/>
        </w:rPr>
      </w:pPr>
      <w:r w:rsidRPr="00F57987">
        <w:rPr>
          <w:rFonts w:ascii="Arial" w:hAnsi="Arial" w:cs="Arial"/>
          <w:color w:val="58595B"/>
          <w:sz w:val="21"/>
          <w:szCs w:val="21"/>
        </w:rPr>
        <w:t>© Commonwealth of Australia 202</w:t>
      </w:r>
      <w:r w:rsidR="00CE0CA1">
        <w:rPr>
          <w:rFonts w:ascii="Arial" w:hAnsi="Arial" w:cs="Arial"/>
          <w:color w:val="58595B"/>
          <w:sz w:val="21"/>
          <w:szCs w:val="21"/>
        </w:rPr>
        <w:t>5</w:t>
      </w:r>
    </w:p>
    <w:p w14:paraId="5D3498B8" w14:textId="6CB2FE96" w:rsidR="00D37A37" w:rsidRPr="00F57987" w:rsidRDefault="00D37A37" w:rsidP="00D37A37">
      <w:pPr>
        <w:rPr>
          <w:rFonts w:ascii="Arial" w:hAnsi="Arial" w:cs="Arial"/>
          <w:color w:val="58595B"/>
          <w:sz w:val="21"/>
          <w:szCs w:val="21"/>
        </w:rPr>
      </w:pPr>
      <w:r w:rsidRPr="00F57987">
        <w:rPr>
          <w:rFonts w:ascii="Arial" w:hAnsi="Arial" w:cs="Arial"/>
          <w:color w:val="58595B"/>
          <w:sz w:val="21"/>
          <w:szCs w:val="21"/>
        </w:rPr>
        <w:b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under the </w:t>
      </w:r>
      <w:r w:rsidRPr="00F57987">
        <w:rPr>
          <w:rStyle w:val="pubtitle"/>
          <w:rFonts w:ascii="Arial" w:hAnsi="Arial" w:cs="Arial"/>
          <w:i/>
          <w:iCs/>
          <w:color w:val="58595B"/>
          <w:sz w:val="21"/>
          <w:szCs w:val="21"/>
        </w:rPr>
        <w:t>Copyright Act 1968</w:t>
      </w:r>
      <w:r w:rsidRPr="00F57987">
        <w:rPr>
          <w:rFonts w:ascii="Arial" w:hAnsi="Arial" w:cs="Arial"/>
          <w:color w:val="58595B"/>
          <w:sz w:val="21"/>
          <w:szCs w:val="21"/>
        </w:rPr>
        <w:t xml:space="preserve"> or allowed by this copyright notice, all other rights are </w:t>
      </w:r>
      <w:r w:rsidR="00C45B2F" w:rsidRPr="00F57987">
        <w:rPr>
          <w:rFonts w:ascii="Arial" w:hAnsi="Arial" w:cs="Arial"/>
          <w:color w:val="58595B"/>
          <w:sz w:val="21"/>
          <w:szCs w:val="21"/>
        </w:rPr>
        <w:t>reserved,</w:t>
      </w:r>
      <w:r w:rsidRPr="00F57987">
        <w:rPr>
          <w:rFonts w:ascii="Arial" w:hAnsi="Arial" w:cs="Arial"/>
          <w:color w:val="58595B"/>
          <w:sz w:val="21"/>
          <w:szCs w:val="21"/>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w:t>
      </w:r>
    </w:p>
    <w:p w14:paraId="63A51A7C" w14:textId="4EF64961" w:rsidR="00D37A37" w:rsidRPr="00F57987" w:rsidRDefault="00D37A37" w:rsidP="00D37A37">
      <w:pPr>
        <w:rPr>
          <w:rFonts w:ascii="Arial" w:hAnsi="Arial" w:cs="Arial"/>
          <w:color w:val="58595B"/>
          <w:sz w:val="21"/>
          <w:szCs w:val="21"/>
        </w:rPr>
      </w:pPr>
      <w:r w:rsidRPr="00F57987">
        <w:rPr>
          <w:rFonts w:ascii="Arial" w:hAnsi="Arial" w:cs="Arial"/>
          <w:color w:val="58595B"/>
          <w:sz w:val="21"/>
          <w:szCs w:val="21"/>
        </w:rPr>
        <w:t xml:space="preserve">ODC Copyright Officer, Office of Drug Control, PO Box 100, Woden ACT 2606 or emailed to </w:t>
      </w:r>
      <w:hyperlink r:id="rId9" w:history="1">
        <w:r w:rsidRPr="00F57987">
          <w:rPr>
            <w:rStyle w:val="Hyperlink"/>
            <w:rFonts w:ascii="Arial" w:hAnsi="Arial" w:cs="Arial"/>
            <w:sz w:val="21"/>
            <w:szCs w:val="21"/>
          </w:rPr>
          <w:t>ODC.compliance@health.gov.au</w:t>
        </w:r>
      </w:hyperlink>
    </w:p>
    <w:p w14:paraId="27D529B9" w14:textId="06E3AC4F" w:rsidR="00D37A37" w:rsidRPr="00F57987" w:rsidRDefault="00D37A37" w:rsidP="00D37A37">
      <w:pPr>
        <w:rPr>
          <w:rFonts w:ascii="Arial" w:hAnsi="Arial" w:cs="Arial"/>
          <w:color w:val="58595B"/>
          <w:sz w:val="21"/>
          <w:szCs w:val="21"/>
        </w:rPr>
      </w:pPr>
      <w:r w:rsidRPr="00F57987">
        <w:rPr>
          <w:rFonts w:ascii="Arial" w:hAnsi="Arial" w:cs="Arial"/>
          <w:color w:val="58595B"/>
          <w:sz w:val="21"/>
          <w:szCs w:val="21"/>
        </w:rPr>
        <w:t>The Australian Government acting through the Office of Drug Control in the Department of Health</w:t>
      </w:r>
      <w:r w:rsidR="008B509B">
        <w:rPr>
          <w:rFonts w:ascii="Arial" w:hAnsi="Arial" w:cs="Arial"/>
          <w:color w:val="58595B"/>
          <w:sz w:val="21"/>
          <w:szCs w:val="21"/>
        </w:rPr>
        <w:t xml:space="preserve">, Disability and </w:t>
      </w:r>
      <w:r w:rsidR="00A64B2C">
        <w:rPr>
          <w:rFonts w:ascii="Arial" w:hAnsi="Arial" w:cs="Arial"/>
          <w:color w:val="58595B"/>
          <w:sz w:val="21"/>
          <w:szCs w:val="21"/>
        </w:rPr>
        <w:t>Age</w:t>
      </w:r>
      <w:r w:rsidR="008B509B">
        <w:rPr>
          <w:rFonts w:ascii="Arial" w:hAnsi="Arial" w:cs="Arial"/>
          <w:color w:val="58595B"/>
          <w:sz w:val="21"/>
          <w:szCs w:val="21"/>
        </w:rPr>
        <w:t>ing</w:t>
      </w:r>
      <w:r w:rsidR="00A64B2C">
        <w:rPr>
          <w:rFonts w:ascii="Arial" w:hAnsi="Arial" w:cs="Arial"/>
          <w:color w:val="58595B"/>
          <w:sz w:val="21"/>
          <w:szCs w:val="21"/>
        </w:rPr>
        <w:t xml:space="preserve"> </w:t>
      </w:r>
      <w:r w:rsidRPr="00F57987">
        <w:rPr>
          <w:rFonts w:ascii="Arial" w:hAnsi="Arial" w:cs="Arial"/>
          <w:color w:val="58595B"/>
          <w:sz w:val="21"/>
          <w:szCs w:val="21"/>
        </w:rPr>
        <w:t>has exercised due care and skill in the preparation and compilation of the information and data in this publication. Notwithstanding, the department, its employees and advisers disclaim all liability, including liability for negligence, for any loss, damage, injury, expense or cost incurred by any person as a result of accessing, using or relying upon any of the information or data in this publication to the maximum extent permitted by law.</w:t>
      </w:r>
    </w:p>
    <w:p w14:paraId="37AE6B9C" w14:textId="77777777" w:rsidR="00D37A37" w:rsidRPr="00F57987" w:rsidRDefault="00D37A37" w:rsidP="00D37A37">
      <w:pPr>
        <w:pStyle w:val="LegalSubheading"/>
        <w:rPr>
          <w:rFonts w:ascii="Arial" w:hAnsi="Arial" w:cs="Arial"/>
        </w:rPr>
      </w:pPr>
    </w:p>
    <w:p w14:paraId="39630B80" w14:textId="77777777" w:rsidR="00D37A37" w:rsidRPr="00F57987" w:rsidRDefault="00D37A37" w:rsidP="00D37A37">
      <w:pPr>
        <w:pStyle w:val="LegalSubheading"/>
        <w:rPr>
          <w:rFonts w:ascii="Arial" w:eastAsia="Times New Roman" w:hAnsi="Arial" w:cs="Arial"/>
          <w:b/>
          <w:bCs/>
          <w:color w:val="58595B"/>
          <w:sz w:val="21"/>
          <w:szCs w:val="21"/>
          <w:lang w:eastAsia="en-AU"/>
        </w:rPr>
      </w:pPr>
      <w:r w:rsidRPr="00F57987">
        <w:rPr>
          <w:rFonts w:ascii="Arial" w:eastAsia="Times New Roman" w:hAnsi="Arial" w:cs="Arial"/>
          <w:b/>
          <w:bCs/>
          <w:color w:val="58595B"/>
          <w:sz w:val="21"/>
          <w:szCs w:val="21"/>
          <w:lang w:eastAsia="en-AU"/>
        </w:rPr>
        <w:t>Version control</w:t>
      </w:r>
    </w:p>
    <w:p w14:paraId="27BD0073" w14:textId="77777777" w:rsidR="00D37A37" w:rsidRPr="00F57987" w:rsidRDefault="00D37A37" w:rsidP="00D37A37">
      <w:pPr>
        <w:rPr>
          <w:rFonts w:ascii="Arial" w:hAnsi="Arial" w:cs="Arial"/>
          <w:color w:val="58595B"/>
          <w:sz w:val="21"/>
          <w:szCs w:val="21"/>
        </w:rPr>
      </w:pPr>
      <w:r w:rsidRPr="00F57987">
        <w:rPr>
          <w:rFonts w:ascii="Arial" w:hAnsi="Arial" w:cs="Arial"/>
          <w:color w:val="58595B"/>
          <w:sz w:val="21"/>
          <w:szCs w:val="21"/>
        </w:rPr>
        <w:t>Updates to this document will occur automatically on the Office of Drug Control website and the revision table below will list the amendments as they are approved.</w:t>
      </w:r>
    </w:p>
    <w:tbl>
      <w:tblPr>
        <w:tblStyle w:val="TableODC"/>
        <w:tblW w:w="9072" w:type="dxa"/>
        <w:tblLook w:val="0020" w:firstRow="1" w:lastRow="0" w:firstColumn="0" w:lastColumn="0" w:noHBand="0" w:noVBand="0"/>
      </w:tblPr>
      <w:tblGrid>
        <w:gridCol w:w="2089"/>
        <w:gridCol w:w="1109"/>
        <w:gridCol w:w="5874"/>
      </w:tblGrid>
      <w:tr w:rsidR="00FA1B5E" w:rsidRPr="00F57987" w14:paraId="08219929" w14:textId="77777777" w:rsidTr="00FA1B5E">
        <w:trPr>
          <w:cnfStyle w:val="100000000000" w:firstRow="1" w:lastRow="0" w:firstColumn="0" w:lastColumn="0" w:oddVBand="0" w:evenVBand="0" w:oddHBand="0" w:evenHBand="0" w:firstRowFirstColumn="0" w:firstRowLastColumn="0" w:lastRowFirstColumn="0" w:lastRowLastColumn="0"/>
        </w:trPr>
        <w:tc>
          <w:tcPr>
            <w:tcW w:w="2089" w:type="dxa"/>
          </w:tcPr>
          <w:p w14:paraId="18C6F22E" w14:textId="77777777" w:rsidR="00FA1B5E" w:rsidRPr="00F57987" w:rsidRDefault="00FA1B5E" w:rsidP="00565D3A">
            <w:pPr>
              <w:pStyle w:val="Tableheader"/>
              <w:rPr>
                <w:rFonts w:ascii="Arial" w:eastAsia="Times New Roman" w:hAnsi="Arial" w:cs="Arial"/>
                <w:b/>
                <w:bCs/>
                <w:color w:val="58595B"/>
                <w:sz w:val="21"/>
              </w:rPr>
            </w:pPr>
            <w:r w:rsidRPr="00F57987">
              <w:rPr>
                <w:rFonts w:ascii="Arial" w:eastAsia="Times New Roman" w:hAnsi="Arial" w:cs="Arial"/>
                <w:b/>
                <w:bCs/>
                <w:color w:val="58595B"/>
                <w:sz w:val="21"/>
              </w:rPr>
              <w:t>Date</w:t>
            </w:r>
          </w:p>
        </w:tc>
        <w:tc>
          <w:tcPr>
            <w:tcW w:w="1109" w:type="dxa"/>
          </w:tcPr>
          <w:p w14:paraId="23457D3E" w14:textId="77777777" w:rsidR="00FA1B5E" w:rsidRPr="00F57987" w:rsidRDefault="00FA1B5E" w:rsidP="00565D3A">
            <w:pPr>
              <w:pStyle w:val="Tableheader"/>
              <w:rPr>
                <w:rFonts w:ascii="Arial" w:eastAsia="Times New Roman" w:hAnsi="Arial" w:cs="Arial"/>
                <w:b/>
                <w:bCs/>
                <w:color w:val="58595B"/>
                <w:sz w:val="21"/>
              </w:rPr>
            </w:pPr>
            <w:r w:rsidRPr="00F57987">
              <w:rPr>
                <w:rFonts w:ascii="Arial" w:eastAsia="Times New Roman" w:hAnsi="Arial" w:cs="Arial"/>
                <w:b/>
                <w:bCs/>
                <w:color w:val="58595B"/>
                <w:sz w:val="21"/>
              </w:rPr>
              <w:t>Version</w:t>
            </w:r>
          </w:p>
        </w:tc>
        <w:tc>
          <w:tcPr>
            <w:tcW w:w="5874" w:type="dxa"/>
          </w:tcPr>
          <w:p w14:paraId="3BE285A5" w14:textId="77777777" w:rsidR="00FA1B5E" w:rsidRPr="00F57987" w:rsidRDefault="00FA1B5E" w:rsidP="00565D3A">
            <w:pPr>
              <w:pStyle w:val="Tableheader"/>
              <w:rPr>
                <w:rFonts w:ascii="Arial" w:eastAsia="Times New Roman" w:hAnsi="Arial" w:cs="Arial"/>
                <w:b/>
                <w:bCs/>
                <w:color w:val="58595B"/>
                <w:sz w:val="21"/>
              </w:rPr>
            </w:pPr>
            <w:r w:rsidRPr="00F57987">
              <w:rPr>
                <w:rFonts w:ascii="Arial" w:eastAsia="Times New Roman" w:hAnsi="Arial" w:cs="Arial"/>
                <w:b/>
                <w:bCs/>
                <w:color w:val="58595B"/>
                <w:sz w:val="21"/>
              </w:rPr>
              <w:t>Amendments</w:t>
            </w:r>
          </w:p>
        </w:tc>
      </w:tr>
      <w:tr w:rsidR="00FA1B5E" w:rsidRPr="00F57987" w14:paraId="1A9894B2" w14:textId="77777777" w:rsidTr="00FA1B5E">
        <w:trPr>
          <w:cnfStyle w:val="000000100000" w:firstRow="0" w:lastRow="0" w:firstColumn="0" w:lastColumn="0" w:oddVBand="0" w:evenVBand="0" w:oddHBand="1" w:evenHBand="0" w:firstRowFirstColumn="0" w:firstRowLastColumn="0" w:lastRowFirstColumn="0" w:lastRowLastColumn="0"/>
        </w:trPr>
        <w:tc>
          <w:tcPr>
            <w:tcW w:w="2089" w:type="dxa"/>
            <w:tcBorders>
              <w:top w:val="single" w:sz="8" w:space="0" w:color="002C47"/>
              <w:bottom w:val="single" w:sz="8" w:space="0" w:color="002C47"/>
            </w:tcBorders>
          </w:tcPr>
          <w:p w14:paraId="0BFD61AF" w14:textId="41D192C8" w:rsidR="00FA1B5E" w:rsidRPr="00F57987" w:rsidRDefault="00CB3CDA" w:rsidP="00565D3A">
            <w:pPr>
              <w:spacing w:after="120"/>
              <w:rPr>
                <w:rFonts w:ascii="Arial" w:eastAsia="Times New Roman" w:hAnsi="Arial" w:cs="Arial"/>
                <w:color w:val="58595B"/>
                <w:sz w:val="21"/>
              </w:rPr>
            </w:pPr>
            <w:r>
              <w:rPr>
                <w:rFonts w:ascii="Arial" w:eastAsia="Times New Roman" w:hAnsi="Arial" w:cs="Arial"/>
                <w:color w:val="58595B"/>
                <w:sz w:val="21"/>
              </w:rPr>
              <w:t>December</w:t>
            </w:r>
            <w:r w:rsidR="00094505" w:rsidRPr="00C40F62">
              <w:rPr>
                <w:rFonts w:ascii="Arial" w:eastAsia="Times New Roman" w:hAnsi="Arial" w:cs="Arial"/>
                <w:color w:val="58595B"/>
                <w:sz w:val="21"/>
              </w:rPr>
              <w:t xml:space="preserve"> </w:t>
            </w:r>
            <w:r w:rsidR="00FA1B5E" w:rsidRPr="00C40F62">
              <w:rPr>
                <w:rFonts w:ascii="Arial" w:eastAsia="Times New Roman" w:hAnsi="Arial" w:cs="Arial"/>
                <w:color w:val="58595B"/>
                <w:sz w:val="21"/>
              </w:rPr>
              <w:t>202</w:t>
            </w:r>
            <w:r w:rsidR="00CE0CA1" w:rsidRPr="00C40F62">
              <w:rPr>
                <w:rFonts w:ascii="Arial" w:eastAsia="Times New Roman" w:hAnsi="Arial" w:cs="Arial"/>
                <w:color w:val="58595B"/>
                <w:sz w:val="21"/>
              </w:rPr>
              <w:t>5</w:t>
            </w:r>
          </w:p>
        </w:tc>
        <w:tc>
          <w:tcPr>
            <w:tcW w:w="1109" w:type="dxa"/>
            <w:tcBorders>
              <w:top w:val="single" w:sz="8" w:space="0" w:color="002C47"/>
              <w:bottom w:val="single" w:sz="8" w:space="0" w:color="002C47"/>
            </w:tcBorders>
          </w:tcPr>
          <w:p w14:paraId="12993B5D" w14:textId="7DC409F2" w:rsidR="00FA1B5E" w:rsidRPr="00F57987" w:rsidRDefault="00A0245B" w:rsidP="00565D3A">
            <w:pPr>
              <w:spacing w:after="120"/>
              <w:rPr>
                <w:rFonts w:ascii="Arial" w:eastAsia="Times New Roman" w:hAnsi="Arial" w:cs="Arial"/>
                <w:color w:val="58595B"/>
                <w:sz w:val="21"/>
              </w:rPr>
            </w:pPr>
            <w:r>
              <w:rPr>
                <w:rFonts w:ascii="Arial" w:eastAsia="Times New Roman" w:hAnsi="Arial" w:cs="Arial"/>
                <w:color w:val="58595B"/>
                <w:sz w:val="21"/>
              </w:rPr>
              <w:t>1</w:t>
            </w:r>
            <w:r w:rsidR="00FA1B5E" w:rsidRPr="00F57987">
              <w:rPr>
                <w:rFonts w:ascii="Arial" w:eastAsia="Times New Roman" w:hAnsi="Arial" w:cs="Arial"/>
                <w:color w:val="58595B"/>
                <w:sz w:val="21"/>
              </w:rPr>
              <w:t>.0</w:t>
            </w:r>
          </w:p>
        </w:tc>
        <w:tc>
          <w:tcPr>
            <w:tcW w:w="5874" w:type="dxa"/>
            <w:tcBorders>
              <w:top w:val="single" w:sz="8" w:space="0" w:color="002C47"/>
              <w:bottom w:val="single" w:sz="8" w:space="0" w:color="002C47"/>
            </w:tcBorders>
          </w:tcPr>
          <w:p w14:paraId="1B870886" w14:textId="1F171A7E" w:rsidR="00FA1B5E" w:rsidRPr="00F57987" w:rsidRDefault="00FA1B5E" w:rsidP="00565D3A">
            <w:pPr>
              <w:spacing w:after="120"/>
              <w:rPr>
                <w:rFonts w:ascii="Arial" w:eastAsia="Times New Roman" w:hAnsi="Arial" w:cs="Arial"/>
                <w:color w:val="58595B"/>
                <w:sz w:val="21"/>
              </w:rPr>
            </w:pPr>
            <w:r w:rsidRPr="00F57987">
              <w:rPr>
                <w:rFonts w:ascii="Arial" w:eastAsia="Times New Roman" w:hAnsi="Arial" w:cs="Arial"/>
                <w:color w:val="58595B"/>
                <w:sz w:val="21"/>
              </w:rPr>
              <w:t>First publication</w:t>
            </w:r>
          </w:p>
        </w:tc>
      </w:tr>
    </w:tbl>
    <w:p w14:paraId="703F57C9" w14:textId="55C828E1" w:rsidR="00D37A37" w:rsidRPr="00F57987" w:rsidRDefault="00D37A37">
      <w:pPr>
        <w:rPr>
          <w:rFonts w:ascii="Arial" w:hAnsi="Arial" w:cs="Arial"/>
        </w:rPr>
      </w:pPr>
    </w:p>
    <w:p w14:paraId="7AD51C92" w14:textId="77777777" w:rsidR="00D37A37" w:rsidRPr="00F57987" w:rsidRDefault="00D37A37">
      <w:pPr>
        <w:rPr>
          <w:rFonts w:ascii="Arial" w:hAnsi="Arial" w:cs="Arial"/>
        </w:rPr>
      </w:pPr>
      <w:r w:rsidRPr="00F57987">
        <w:rPr>
          <w:rFonts w:ascii="Arial" w:hAnsi="Arial" w:cs="Arial"/>
        </w:rPr>
        <w:br w:type="page"/>
      </w:r>
    </w:p>
    <w:bookmarkStart w:id="0" w:name="_Toc111825244" w:displacedByCustomXml="next"/>
    <w:sdt>
      <w:sdtPr>
        <w:rPr>
          <w:rFonts w:ascii="Arial" w:eastAsiaTheme="minorHAnsi" w:hAnsi="Arial" w:cs="Arial"/>
          <w:color w:val="auto"/>
          <w:sz w:val="22"/>
          <w:szCs w:val="22"/>
          <w:lang w:val="en-AU"/>
        </w:rPr>
        <w:id w:val="879134043"/>
        <w:docPartObj>
          <w:docPartGallery w:val="Table of Contents"/>
          <w:docPartUnique/>
        </w:docPartObj>
      </w:sdtPr>
      <w:sdtEndPr>
        <w:rPr>
          <w:b/>
          <w:bCs/>
          <w:noProof/>
        </w:rPr>
      </w:sdtEndPr>
      <w:sdtContent>
        <w:p w14:paraId="5DCBCCBA" w14:textId="6BCB2409" w:rsidR="00F57987" w:rsidRPr="00F57987" w:rsidRDefault="00D37A37" w:rsidP="00F57987">
          <w:pPr>
            <w:pStyle w:val="TOCHeading"/>
            <w:rPr>
              <w:rFonts w:ascii="Arial" w:eastAsia="Times New Roman" w:hAnsi="Arial" w:cs="Arial"/>
              <w:color w:val="323E4F" w:themeColor="text2" w:themeShade="BF"/>
              <w:lang w:val="en-AU" w:eastAsia="en-AU"/>
            </w:rPr>
          </w:pPr>
          <w:r w:rsidRPr="00F57987">
            <w:rPr>
              <w:rFonts w:ascii="Arial" w:eastAsia="Times New Roman" w:hAnsi="Arial" w:cs="Arial"/>
              <w:color w:val="323E4F" w:themeColor="text2" w:themeShade="BF"/>
              <w:lang w:val="en-AU" w:eastAsia="en-AU"/>
            </w:rPr>
            <w:t>Contents</w:t>
          </w:r>
        </w:p>
        <w:p w14:paraId="4C8FEFAA" w14:textId="77777777" w:rsidR="00F57987" w:rsidRDefault="00F57987">
          <w:pPr>
            <w:pStyle w:val="TOC2"/>
            <w:tabs>
              <w:tab w:val="right" w:leader="dot" w:pos="9016"/>
            </w:tabs>
            <w:rPr>
              <w:rFonts w:ascii="Arial" w:hAnsi="Arial" w:cs="Arial"/>
            </w:rPr>
          </w:pPr>
        </w:p>
        <w:p w14:paraId="7C05BFD6" w14:textId="6F9DA52F" w:rsidR="00320299" w:rsidRDefault="00D37A37">
          <w:pPr>
            <w:pStyle w:val="TOC2"/>
            <w:tabs>
              <w:tab w:val="right" w:leader="dot" w:pos="9016"/>
            </w:tabs>
            <w:rPr>
              <w:rFonts w:eastAsiaTheme="minorEastAsia"/>
              <w:noProof/>
              <w:kern w:val="2"/>
              <w:sz w:val="24"/>
              <w:szCs w:val="24"/>
              <w:lang w:eastAsia="en-AU"/>
              <w14:ligatures w14:val="standardContextual"/>
            </w:rPr>
          </w:pPr>
          <w:r w:rsidRPr="00F57987">
            <w:rPr>
              <w:rFonts w:ascii="Arial" w:hAnsi="Arial" w:cs="Arial"/>
            </w:rPr>
            <w:fldChar w:fldCharType="begin"/>
          </w:r>
          <w:r w:rsidRPr="00F57987">
            <w:rPr>
              <w:rFonts w:ascii="Arial" w:hAnsi="Arial" w:cs="Arial"/>
            </w:rPr>
            <w:instrText xml:space="preserve"> TOC \o "1-3" \h \z \u </w:instrText>
          </w:r>
          <w:r w:rsidRPr="00F57987">
            <w:rPr>
              <w:rFonts w:ascii="Arial" w:hAnsi="Arial" w:cs="Arial"/>
            </w:rPr>
            <w:fldChar w:fldCharType="separate"/>
          </w:r>
          <w:hyperlink w:anchor="_Toc218493495" w:history="1">
            <w:r w:rsidR="00320299" w:rsidRPr="00B1039B">
              <w:rPr>
                <w:rStyle w:val="Hyperlink"/>
                <w:noProof/>
              </w:rPr>
              <w:t>1. Introduction</w:t>
            </w:r>
            <w:r w:rsidR="00320299">
              <w:rPr>
                <w:noProof/>
                <w:webHidden/>
              </w:rPr>
              <w:tab/>
            </w:r>
            <w:r w:rsidR="00320299">
              <w:rPr>
                <w:noProof/>
                <w:webHidden/>
              </w:rPr>
              <w:fldChar w:fldCharType="begin"/>
            </w:r>
            <w:r w:rsidR="00320299">
              <w:rPr>
                <w:noProof/>
                <w:webHidden/>
              </w:rPr>
              <w:instrText xml:space="preserve"> PAGEREF _Toc218493495 \h </w:instrText>
            </w:r>
            <w:r w:rsidR="00320299">
              <w:rPr>
                <w:noProof/>
                <w:webHidden/>
              </w:rPr>
            </w:r>
            <w:r w:rsidR="00320299">
              <w:rPr>
                <w:noProof/>
                <w:webHidden/>
              </w:rPr>
              <w:fldChar w:fldCharType="separate"/>
            </w:r>
            <w:r w:rsidR="00320299">
              <w:rPr>
                <w:noProof/>
                <w:webHidden/>
              </w:rPr>
              <w:t>4</w:t>
            </w:r>
            <w:r w:rsidR="00320299">
              <w:rPr>
                <w:noProof/>
                <w:webHidden/>
              </w:rPr>
              <w:fldChar w:fldCharType="end"/>
            </w:r>
          </w:hyperlink>
        </w:p>
        <w:p w14:paraId="039D649D" w14:textId="0C22FB56"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496" w:history="1">
            <w:r w:rsidRPr="00B1039B">
              <w:rPr>
                <w:rStyle w:val="Hyperlink"/>
                <w:noProof/>
                <w:lang w:val="en-US"/>
              </w:rPr>
              <w:t>Enhance stakeholder engagement and collaboration</w:t>
            </w:r>
            <w:r>
              <w:rPr>
                <w:noProof/>
                <w:webHidden/>
              </w:rPr>
              <w:tab/>
            </w:r>
            <w:r>
              <w:rPr>
                <w:noProof/>
                <w:webHidden/>
              </w:rPr>
              <w:fldChar w:fldCharType="begin"/>
            </w:r>
            <w:r>
              <w:rPr>
                <w:noProof/>
                <w:webHidden/>
              </w:rPr>
              <w:instrText xml:space="preserve"> PAGEREF _Toc218493496 \h </w:instrText>
            </w:r>
            <w:r>
              <w:rPr>
                <w:noProof/>
                <w:webHidden/>
              </w:rPr>
            </w:r>
            <w:r>
              <w:rPr>
                <w:noProof/>
                <w:webHidden/>
              </w:rPr>
              <w:fldChar w:fldCharType="separate"/>
            </w:r>
            <w:r>
              <w:rPr>
                <w:noProof/>
                <w:webHidden/>
              </w:rPr>
              <w:t>5</w:t>
            </w:r>
            <w:r>
              <w:rPr>
                <w:noProof/>
                <w:webHidden/>
              </w:rPr>
              <w:fldChar w:fldCharType="end"/>
            </w:r>
          </w:hyperlink>
        </w:p>
        <w:p w14:paraId="482995DB" w14:textId="5F92149C"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497" w:history="1">
            <w:r w:rsidRPr="00B1039B">
              <w:rPr>
                <w:rStyle w:val="Hyperlink"/>
                <w:noProof/>
                <w:lang w:val="en-US"/>
              </w:rPr>
              <w:t>Promote compliance with regulatory requirements</w:t>
            </w:r>
            <w:r>
              <w:rPr>
                <w:noProof/>
                <w:webHidden/>
              </w:rPr>
              <w:tab/>
            </w:r>
            <w:r>
              <w:rPr>
                <w:noProof/>
                <w:webHidden/>
              </w:rPr>
              <w:fldChar w:fldCharType="begin"/>
            </w:r>
            <w:r>
              <w:rPr>
                <w:noProof/>
                <w:webHidden/>
              </w:rPr>
              <w:instrText xml:space="preserve"> PAGEREF _Toc218493497 \h </w:instrText>
            </w:r>
            <w:r>
              <w:rPr>
                <w:noProof/>
                <w:webHidden/>
              </w:rPr>
            </w:r>
            <w:r>
              <w:rPr>
                <w:noProof/>
                <w:webHidden/>
              </w:rPr>
              <w:fldChar w:fldCharType="separate"/>
            </w:r>
            <w:r>
              <w:rPr>
                <w:noProof/>
                <w:webHidden/>
              </w:rPr>
              <w:t>5</w:t>
            </w:r>
            <w:r>
              <w:rPr>
                <w:noProof/>
                <w:webHidden/>
              </w:rPr>
              <w:fldChar w:fldCharType="end"/>
            </w:r>
          </w:hyperlink>
        </w:p>
        <w:p w14:paraId="7E66BC96" w14:textId="27B7099D"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498" w:history="1">
            <w:r w:rsidRPr="00B1039B">
              <w:rPr>
                <w:rStyle w:val="Hyperlink"/>
                <w:noProof/>
              </w:rPr>
              <w:t>2. Legislative requirements</w:t>
            </w:r>
            <w:r>
              <w:rPr>
                <w:noProof/>
                <w:webHidden/>
              </w:rPr>
              <w:tab/>
            </w:r>
            <w:r>
              <w:rPr>
                <w:noProof/>
                <w:webHidden/>
              </w:rPr>
              <w:fldChar w:fldCharType="begin"/>
            </w:r>
            <w:r>
              <w:rPr>
                <w:noProof/>
                <w:webHidden/>
              </w:rPr>
              <w:instrText xml:space="preserve"> PAGEREF _Toc218493498 \h </w:instrText>
            </w:r>
            <w:r>
              <w:rPr>
                <w:noProof/>
                <w:webHidden/>
              </w:rPr>
            </w:r>
            <w:r>
              <w:rPr>
                <w:noProof/>
                <w:webHidden/>
              </w:rPr>
              <w:fldChar w:fldCharType="separate"/>
            </w:r>
            <w:r>
              <w:rPr>
                <w:noProof/>
                <w:webHidden/>
              </w:rPr>
              <w:t>5</w:t>
            </w:r>
            <w:r>
              <w:rPr>
                <w:noProof/>
                <w:webHidden/>
              </w:rPr>
              <w:fldChar w:fldCharType="end"/>
            </w:r>
          </w:hyperlink>
        </w:p>
        <w:p w14:paraId="465DB204" w14:textId="64F20BB2"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499" w:history="1">
            <w:r w:rsidRPr="00B1039B">
              <w:rPr>
                <w:rStyle w:val="Hyperlink"/>
                <w:noProof/>
              </w:rPr>
              <w:t>3. Risk-based approach to compliance</w:t>
            </w:r>
            <w:r>
              <w:rPr>
                <w:noProof/>
                <w:webHidden/>
              </w:rPr>
              <w:tab/>
            </w:r>
            <w:r>
              <w:rPr>
                <w:noProof/>
                <w:webHidden/>
              </w:rPr>
              <w:fldChar w:fldCharType="begin"/>
            </w:r>
            <w:r>
              <w:rPr>
                <w:noProof/>
                <w:webHidden/>
              </w:rPr>
              <w:instrText xml:space="preserve"> PAGEREF _Toc218493499 \h </w:instrText>
            </w:r>
            <w:r>
              <w:rPr>
                <w:noProof/>
                <w:webHidden/>
              </w:rPr>
            </w:r>
            <w:r>
              <w:rPr>
                <w:noProof/>
                <w:webHidden/>
              </w:rPr>
              <w:fldChar w:fldCharType="separate"/>
            </w:r>
            <w:r>
              <w:rPr>
                <w:noProof/>
                <w:webHidden/>
              </w:rPr>
              <w:t>6</w:t>
            </w:r>
            <w:r>
              <w:rPr>
                <w:noProof/>
                <w:webHidden/>
              </w:rPr>
              <w:fldChar w:fldCharType="end"/>
            </w:r>
          </w:hyperlink>
        </w:p>
        <w:p w14:paraId="1383101C" w14:textId="0132E466"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00" w:history="1">
            <w:r w:rsidRPr="00B1039B">
              <w:rPr>
                <w:rStyle w:val="Hyperlink"/>
                <w:noProof/>
              </w:rPr>
              <w:t>4. Compliance monitoring</w:t>
            </w:r>
            <w:r>
              <w:rPr>
                <w:noProof/>
                <w:webHidden/>
              </w:rPr>
              <w:tab/>
            </w:r>
            <w:r>
              <w:rPr>
                <w:noProof/>
                <w:webHidden/>
              </w:rPr>
              <w:fldChar w:fldCharType="begin"/>
            </w:r>
            <w:r>
              <w:rPr>
                <w:noProof/>
                <w:webHidden/>
              </w:rPr>
              <w:instrText xml:space="preserve"> PAGEREF _Toc218493500 \h </w:instrText>
            </w:r>
            <w:r>
              <w:rPr>
                <w:noProof/>
                <w:webHidden/>
              </w:rPr>
            </w:r>
            <w:r>
              <w:rPr>
                <w:noProof/>
                <w:webHidden/>
              </w:rPr>
              <w:fldChar w:fldCharType="separate"/>
            </w:r>
            <w:r>
              <w:rPr>
                <w:noProof/>
                <w:webHidden/>
              </w:rPr>
              <w:t>8</w:t>
            </w:r>
            <w:r>
              <w:rPr>
                <w:noProof/>
                <w:webHidden/>
              </w:rPr>
              <w:fldChar w:fldCharType="end"/>
            </w:r>
          </w:hyperlink>
        </w:p>
        <w:p w14:paraId="260DAEAE" w14:textId="3B80FD22"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01" w:history="1">
            <w:r w:rsidRPr="00B1039B">
              <w:rPr>
                <w:rStyle w:val="Hyperlink"/>
                <w:noProof/>
              </w:rPr>
              <w:t>5. Intelligence collection and analysis</w:t>
            </w:r>
            <w:r>
              <w:rPr>
                <w:noProof/>
                <w:webHidden/>
              </w:rPr>
              <w:tab/>
            </w:r>
            <w:r>
              <w:rPr>
                <w:noProof/>
                <w:webHidden/>
              </w:rPr>
              <w:fldChar w:fldCharType="begin"/>
            </w:r>
            <w:r>
              <w:rPr>
                <w:noProof/>
                <w:webHidden/>
              </w:rPr>
              <w:instrText xml:space="preserve"> PAGEREF _Toc218493501 \h </w:instrText>
            </w:r>
            <w:r>
              <w:rPr>
                <w:noProof/>
                <w:webHidden/>
              </w:rPr>
            </w:r>
            <w:r>
              <w:rPr>
                <w:noProof/>
                <w:webHidden/>
              </w:rPr>
              <w:fldChar w:fldCharType="separate"/>
            </w:r>
            <w:r>
              <w:rPr>
                <w:noProof/>
                <w:webHidden/>
              </w:rPr>
              <w:t>8</w:t>
            </w:r>
            <w:r>
              <w:rPr>
                <w:noProof/>
                <w:webHidden/>
              </w:rPr>
              <w:fldChar w:fldCharType="end"/>
            </w:r>
          </w:hyperlink>
        </w:p>
        <w:p w14:paraId="75F31F00" w14:textId="4CD333C5"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02" w:history="1">
            <w:r w:rsidRPr="00B1039B">
              <w:rPr>
                <w:rStyle w:val="Hyperlink"/>
                <w:noProof/>
              </w:rPr>
              <w:t>Inspection trends</w:t>
            </w:r>
            <w:r>
              <w:rPr>
                <w:noProof/>
                <w:webHidden/>
              </w:rPr>
              <w:tab/>
            </w:r>
            <w:r>
              <w:rPr>
                <w:noProof/>
                <w:webHidden/>
              </w:rPr>
              <w:fldChar w:fldCharType="begin"/>
            </w:r>
            <w:r>
              <w:rPr>
                <w:noProof/>
                <w:webHidden/>
              </w:rPr>
              <w:instrText xml:space="preserve"> PAGEREF _Toc218493502 \h </w:instrText>
            </w:r>
            <w:r>
              <w:rPr>
                <w:noProof/>
                <w:webHidden/>
              </w:rPr>
            </w:r>
            <w:r>
              <w:rPr>
                <w:noProof/>
                <w:webHidden/>
              </w:rPr>
              <w:fldChar w:fldCharType="separate"/>
            </w:r>
            <w:r>
              <w:rPr>
                <w:noProof/>
                <w:webHidden/>
              </w:rPr>
              <w:t>9</w:t>
            </w:r>
            <w:r>
              <w:rPr>
                <w:noProof/>
                <w:webHidden/>
              </w:rPr>
              <w:fldChar w:fldCharType="end"/>
            </w:r>
          </w:hyperlink>
        </w:p>
        <w:p w14:paraId="0AF94262" w14:textId="0F2634AE"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03" w:history="1">
            <w:r w:rsidRPr="00B1039B">
              <w:rPr>
                <w:rStyle w:val="Hyperlink"/>
                <w:noProof/>
              </w:rPr>
              <w:t>Public media alerts</w:t>
            </w:r>
            <w:r>
              <w:rPr>
                <w:noProof/>
                <w:webHidden/>
              </w:rPr>
              <w:tab/>
            </w:r>
            <w:r>
              <w:rPr>
                <w:noProof/>
                <w:webHidden/>
              </w:rPr>
              <w:fldChar w:fldCharType="begin"/>
            </w:r>
            <w:r>
              <w:rPr>
                <w:noProof/>
                <w:webHidden/>
              </w:rPr>
              <w:instrText xml:space="preserve"> PAGEREF _Toc218493503 \h </w:instrText>
            </w:r>
            <w:r>
              <w:rPr>
                <w:noProof/>
                <w:webHidden/>
              </w:rPr>
            </w:r>
            <w:r>
              <w:rPr>
                <w:noProof/>
                <w:webHidden/>
              </w:rPr>
              <w:fldChar w:fldCharType="separate"/>
            </w:r>
            <w:r>
              <w:rPr>
                <w:noProof/>
                <w:webHidden/>
              </w:rPr>
              <w:t>9</w:t>
            </w:r>
            <w:r>
              <w:rPr>
                <w:noProof/>
                <w:webHidden/>
              </w:rPr>
              <w:fldChar w:fldCharType="end"/>
            </w:r>
          </w:hyperlink>
        </w:p>
        <w:p w14:paraId="177454FD" w14:textId="20FDDCDA"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04" w:history="1">
            <w:r w:rsidRPr="00B1039B">
              <w:rPr>
                <w:rStyle w:val="Hyperlink"/>
                <w:noProof/>
              </w:rPr>
              <w:t>Notifications</w:t>
            </w:r>
            <w:r>
              <w:rPr>
                <w:noProof/>
                <w:webHidden/>
              </w:rPr>
              <w:tab/>
            </w:r>
            <w:r>
              <w:rPr>
                <w:noProof/>
                <w:webHidden/>
              </w:rPr>
              <w:fldChar w:fldCharType="begin"/>
            </w:r>
            <w:r>
              <w:rPr>
                <w:noProof/>
                <w:webHidden/>
              </w:rPr>
              <w:instrText xml:space="preserve"> PAGEREF _Toc218493504 \h </w:instrText>
            </w:r>
            <w:r>
              <w:rPr>
                <w:noProof/>
                <w:webHidden/>
              </w:rPr>
            </w:r>
            <w:r>
              <w:rPr>
                <w:noProof/>
                <w:webHidden/>
              </w:rPr>
              <w:fldChar w:fldCharType="separate"/>
            </w:r>
            <w:r>
              <w:rPr>
                <w:noProof/>
                <w:webHidden/>
              </w:rPr>
              <w:t>9</w:t>
            </w:r>
            <w:r>
              <w:rPr>
                <w:noProof/>
                <w:webHidden/>
              </w:rPr>
              <w:fldChar w:fldCharType="end"/>
            </w:r>
          </w:hyperlink>
        </w:p>
        <w:p w14:paraId="64ED27E7" w14:textId="2DCC34BA"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05" w:history="1">
            <w:r w:rsidRPr="00B1039B">
              <w:rPr>
                <w:rStyle w:val="Hyperlink"/>
                <w:noProof/>
              </w:rPr>
              <w:t>Tip-Offs and complaints</w:t>
            </w:r>
            <w:r>
              <w:rPr>
                <w:noProof/>
                <w:webHidden/>
              </w:rPr>
              <w:tab/>
            </w:r>
            <w:r>
              <w:rPr>
                <w:noProof/>
                <w:webHidden/>
              </w:rPr>
              <w:fldChar w:fldCharType="begin"/>
            </w:r>
            <w:r>
              <w:rPr>
                <w:noProof/>
                <w:webHidden/>
              </w:rPr>
              <w:instrText xml:space="preserve"> PAGEREF _Toc218493505 \h </w:instrText>
            </w:r>
            <w:r>
              <w:rPr>
                <w:noProof/>
                <w:webHidden/>
              </w:rPr>
            </w:r>
            <w:r>
              <w:rPr>
                <w:noProof/>
                <w:webHidden/>
              </w:rPr>
              <w:fldChar w:fldCharType="separate"/>
            </w:r>
            <w:r>
              <w:rPr>
                <w:noProof/>
                <w:webHidden/>
              </w:rPr>
              <w:t>9</w:t>
            </w:r>
            <w:r>
              <w:rPr>
                <w:noProof/>
                <w:webHidden/>
              </w:rPr>
              <w:fldChar w:fldCharType="end"/>
            </w:r>
          </w:hyperlink>
        </w:p>
        <w:p w14:paraId="7920B962" w14:textId="0514397B"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06" w:history="1">
            <w:r w:rsidRPr="00B1039B">
              <w:rPr>
                <w:rStyle w:val="Hyperlink"/>
                <w:noProof/>
              </w:rPr>
              <w:t>Prioritisation</w:t>
            </w:r>
            <w:r>
              <w:rPr>
                <w:noProof/>
                <w:webHidden/>
              </w:rPr>
              <w:tab/>
            </w:r>
            <w:r>
              <w:rPr>
                <w:noProof/>
                <w:webHidden/>
              </w:rPr>
              <w:fldChar w:fldCharType="begin"/>
            </w:r>
            <w:r>
              <w:rPr>
                <w:noProof/>
                <w:webHidden/>
              </w:rPr>
              <w:instrText xml:space="preserve"> PAGEREF _Toc218493506 \h </w:instrText>
            </w:r>
            <w:r>
              <w:rPr>
                <w:noProof/>
                <w:webHidden/>
              </w:rPr>
            </w:r>
            <w:r>
              <w:rPr>
                <w:noProof/>
                <w:webHidden/>
              </w:rPr>
              <w:fldChar w:fldCharType="separate"/>
            </w:r>
            <w:r>
              <w:rPr>
                <w:noProof/>
                <w:webHidden/>
              </w:rPr>
              <w:t>10</w:t>
            </w:r>
            <w:r>
              <w:rPr>
                <w:noProof/>
                <w:webHidden/>
              </w:rPr>
              <w:fldChar w:fldCharType="end"/>
            </w:r>
          </w:hyperlink>
        </w:p>
        <w:p w14:paraId="7774D717" w14:textId="051C6050"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07" w:history="1">
            <w:r w:rsidRPr="00B1039B">
              <w:rPr>
                <w:rStyle w:val="Hyperlink"/>
                <w:noProof/>
              </w:rPr>
              <w:t>6. Stakeholder engagement and education</w:t>
            </w:r>
            <w:r>
              <w:rPr>
                <w:noProof/>
                <w:webHidden/>
              </w:rPr>
              <w:tab/>
            </w:r>
            <w:r>
              <w:rPr>
                <w:noProof/>
                <w:webHidden/>
              </w:rPr>
              <w:fldChar w:fldCharType="begin"/>
            </w:r>
            <w:r>
              <w:rPr>
                <w:noProof/>
                <w:webHidden/>
              </w:rPr>
              <w:instrText xml:space="preserve"> PAGEREF _Toc218493507 \h </w:instrText>
            </w:r>
            <w:r>
              <w:rPr>
                <w:noProof/>
                <w:webHidden/>
              </w:rPr>
            </w:r>
            <w:r>
              <w:rPr>
                <w:noProof/>
                <w:webHidden/>
              </w:rPr>
              <w:fldChar w:fldCharType="separate"/>
            </w:r>
            <w:r>
              <w:rPr>
                <w:noProof/>
                <w:webHidden/>
              </w:rPr>
              <w:t>10</w:t>
            </w:r>
            <w:r>
              <w:rPr>
                <w:noProof/>
                <w:webHidden/>
              </w:rPr>
              <w:fldChar w:fldCharType="end"/>
            </w:r>
          </w:hyperlink>
        </w:p>
        <w:p w14:paraId="586C7C2C" w14:textId="34B9C049"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08" w:history="1">
            <w:r w:rsidRPr="00B1039B">
              <w:rPr>
                <w:rStyle w:val="Hyperlink"/>
                <w:noProof/>
              </w:rPr>
              <w:t>Monitoring and education campaigns</w:t>
            </w:r>
            <w:r>
              <w:rPr>
                <w:noProof/>
                <w:webHidden/>
              </w:rPr>
              <w:tab/>
            </w:r>
            <w:r>
              <w:rPr>
                <w:noProof/>
                <w:webHidden/>
              </w:rPr>
              <w:fldChar w:fldCharType="begin"/>
            </w:r>
            <w:r>
              <w:rPr>
                <w:noProof/>
                <w:webHidden/>
              </w:rPr>
              <w:instrText xml:space="preserve"> PAGEREF _Toc218493508 \h </w:instrText>
            </w:r>
            <w:r>
              <w:rPr>
                <w:noProof/>
                <w:webHidden/>
              </w:rPr>
            </w:r>
            <w:r>
              <w:rPr>
                <w:noProof/>
                <w:webHidden/>
              </w:rPr>
              <w:fldChar w:fldCharType="separate"/>
            </w:r>
            <w:r>
              <w:rPr>
                <w:noProof/>
                <w:webHidden/>
              </w:rPr>
              <w:t>10</w:t>
            </w:r>
            <w:r>
              <w:rPr>
                <w:noProof/>
                <w:webHidden/>
              </w:rPr>
              <w:fldChar w:fldCharType="end"/>
            </w:r>
          </w:hyperlink>
        </w:p>
        <w:p w14:paraId="54E496B3" w14:textId="43E276A1"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09" w:history="1">
            <w:r w:rsidRPr="00B1039B">
              <w:rPr>
                <w:rStyle w:val="Hyperlink"/>
                <w:noProof/>
              </w:rPr>
              <w:t>7. Compliance inspections</w:t>
            </w:r>
            <w:r>
              <w:rPr>
                <w:noProof/>
                <w:webHidden/>
              </w:rPr>
              <w:tab/>
            </w:r>
            <w:r>
              <w:rPr>
                <w:noProof/>
                <w:webHidden/>
              </w:rPr>
              <w:fldChar w:fldCharType="begin"/>
            </w:r>
            <w:r>
              <w:rPr>
                <w:noProof/>
                <w:webHidden/>
              </w:rPr>
              <w:instrText xml:space="preserve"> PAGEREF _Toc218493509 \h </w:instrText>
            </w:r>
            <w:r>
              <w:rPr>
                <w:noProof/>
                <w:webHidden/>
              </w:rPr>
            </w:r>
            <w:r>
              <w:rPr>
                <w:noProof/>
                <w:webHidden/>
              </w:rPr>
              <w:fldChar w:fldCharType="separate"/>
            </w:r>
            <w:r>
              <w:rPr>
                <w:noProof/>
                <w:webHidden/>
              </w:rPr>
              <w:t>10</w:t>
            </w:r>
            <w:r>
              <w:rPr>
                <w:noProof/>
                <w:webHidden/>
              </w:rPr>
              <w:fldChar w:fldCharType="end"/>
            </w:r>
          </w:hyperlink>
        </w:p>
        <w:p w14:paraId="60762E63" w14:textId="7A5D7988"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10" w:history="1">
            <w:r w:rsidRPr="00B1039B">
              <w:rPr>
                <w:rStyle w:val="Hyperlink"/>
                <w:noProof/>
              </w:rPr>
              <w:t>Virtual inspections</w:t>
            </w:r>
            <w:r>
              <w:rPr>
                <w:noProof/>
                <w:webHidden/>
              </w:rPr>
              <w:tab/>
            </w:r>
            <w:r>
              <w:rPr>
                <w:noProof/>
                <w:webHidden/>
              </w:rPr>
              <w:fldChar w:fldCharType="begin"/>
            </w:r>
            <w:r>
              <w:rPr>
                <w:noProof/>
                <w:webHidden/>
              </w:rPr>
              <w:instrText xml:space="preserve"> PAGEREF _Toc218493510 \h </w:instrText>
            </w:r>
            <w:r>
              <w:rPr>
                <w:noProof/>
                <w:webHidden/>
              </w:rPr>
            </w:r>
            <w:r>
              <w:rPr>
                <w:noProof/>
                <w:webHidden/>
              </w:rPr>
              <w:fldChar w:fldCharType="separate"/>
            </w:r>
            <w:r>
              <w:rPr>
                <w:noProof/>
                <w:webHidden/>
              </w:rPr>
              <w:t>11</w:t>
            </w:r>
            <w:r>
              <w:rPr>
                <w:noProof/>
                <w:webHidden/>
              </w:rPr>
              <w:fldChar w:fldCharType="end"/>
            </w:r>
          </w:hyperlink>
        </w:p>
        <w:p w14:paraId="30DE723E" w14:textId="47A2AD93"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11" w:history="1">
            <w:r w:rsidRPr="00B1039B">
              <w:rPr>
                <w:rStyle w:val="Hyperlink"/>
                <w:noProof/>
              </w:rPr>
              <w:t>On-site announced inspections</w:t>
            </w:r>
            <w:r>
              <w:rPr>
                <w:noProof/>
                <w:webHidden/>
              </w:rPr>
              <w:tab/>
            </w:r>
            <w:r>
              <w:rPr>
                <w:noProof/>
                <w:webHidden/>
              </w:rPr>
              <w:fldChar w:fldCharType="begin"/>
            </w:r>
            <w:r>
              <w:rPr>
                <w:noProof/>
                <w:webHidden/>
              </w:rPr>
              <w:instrText xml:space="preserve"> PAGEREF _Toc218493511 \h </w:instrText>
            </w:r>
            <w:r>
              <w:rPr>
                <w:noProof/>
                <w:webHidden/>
              </w:rPr>
            </w:r>
            <w:r>
              <w:rPr>
                <w:noProof/>
                <w:webHidden/>
              </w:rPr>
              <w:fldChar w:fldCharType="separate"/>
            </w:r>
            <w:r>
              <w:rPr>
                <w:noProof/>
                <w:webHidden/>
              </w:rPr>
              <w:t>11</w:t>
            </w:r>
            <w:r>
              <w:rPr>
                <w:noProof/>
                <w:webHidden/>
              </w:rPr>
              <w:fldChar w:fldCharType="end"/>
            </w:r>
          </w:hyperlink>
        </w:p>
        <w:p w14:paraId="60D18C0A" w14:textId="0E80FADF"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12" w:history="1">
            <w:r w:rsidRPr="00B1039B">
              <w:rPr>
                <w:rStyle w:val="Hyperlink"/>
                <w:noProof/>
              </w:rPr>
              <w:t>On-site unannounced inspections</w:t>
            </w:r>
            <w:r>
              <w:rPr>
                <w:noProof/>
                <w:webHidden/>
              </w:rPr>
              <w:tab/>
            </w:r>
            <w:r>
              <w:rPr>
                <w:noProof/>
                <w:webHidden/>
              </w:rPr>
              <w:fldChar w:fldCharType="begin"/>
            </w:r>
            <w:r>
              <w:rPr>
                <w:noProof/>
                <w:webHidden/>
              </w:rPr>
              <w:instrText xml:space="preserve"> PAGEREF _Toc218493512 \h </w:instrText>
            </w:r>
            <w:r>
              <w:rPr>
                <w:noProof/>
                <w:webHidden/>
              </w:rPr>
            </w:r>
            <w:r>
              <w:rPr>
                <w:noProof/>
                <w:webHidden/>
              </w:rPr>
              <w:fldChar w:fldCharType="separate"/>
            </w:r>
            <w:r>
              <w:rPr>
                <w:noProof/>
                <w:webHidden/>
              </w:rPr>
              <w:t>11</w:t>
            </w:r>
            <w:r>
              <w:rPr>
                <w:noProof/>
                <w:webHidden/>
              </w:rPr>
              <w:fldChar w:fldCharType="end"/>
            </w:r>
          </w:hyperlink>
        </w:p>
        <w:p w14:paraId="61F63B77" w14:textId="78219AF0"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13" w:history="1">
            <w:r w:rsidRPr="00B1039B">
              <w:rPr>
                <w:rStyle w:val="Hyperlink"/>
                <w:noProof/>
              </w:rPr>
              <w:t>Cost recovery</w:t>
            </w:r>
            <w:r>
              <w:rPr>
                <w:noProof/>
                <w:webHidden/>
              </w:rPr>
              <w:tab/>
            </w:r>
            <w:r>
              <w:rPr>
                <w:noProof/>
                <w:webHidden/>
              </w:rPr>
              <w:fldChar w:fldCharType="begin"/>
            </w:r>
            <w:r>
              <w:rPr>
                <w:noProof/>
                <w:webHidden/>
              </w:rPr>
              <w:instrText xml:space="preserve"> PAGEREF _Toc218493513 \h </w:instrText>
            </w:r>
            <w:r>
              <w:rPr>
                <w:noProof/>
                <w:webHidden/>
              </w:rPr>
            </w:r>
            <w:r>
              <w:rPr>
                <w:noProof/>
                <w:webHidden/>
              </w:rPr>
              <w:fldChar w:fldCharType="separate"/>
            </w:r>
            <w:r>
              <w:rPr>
                <w:noProof/>
                <w:webHidden/>
              </w:rPr>
              <w:t>11</w:t>
            </w:r>
            <w:r>
              <w:rPr>
                <w:noProof/>
                <w:webHidden/>
              </w:rPr>
              <w:fldChar w:fldCharType="end"/>
            </w:r>
          </w:hyperlink>
        </w:p>
        <w:p w14:paraId="3E542A49" w14:textId="45814BA6"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14" w:history="1">
            <w:r w:rsidRPr="00B1039B">
              <w:rPr>
                <w:rStyle w:val="Hyperlink"/>
                <w:noProof/>
              </w:rPr>
              <w:t>8. Investigations</w:t>
            </w:r>
            <w:r>
              <w:rPr>
                <w:noProof/>
                <w:webHidden/>
              </w:rPr>
              <w:tab/>
            </w:r>
            <w:r>
              <w:rPr>
                <w:noProof/>
                <w:webHidden/>
              </w:rPr>
              <w:fldChar w:fldCharType="begin"/>
            </w:r>
            <w:r>
              <w:rPr>
                <w:noProof/>
                <w:webHidden/>
              </w:rPr>
              <w:instrText xml:space="preserve"> PAGEREF _Toc218493514 \h </w:instrText>
            </w:r>
            <w:r>
              <w:rPr>
                <w:noProof/>
                <w:webHidden/>
              </w:rPr>
            </w:r>
            <w:r>
              <w:rPr>
                <w:noProof/>
                <w:webHidden/>
              </w:rPr>
              <w:fldChar w:fldCharType="separate"/>
            </w:r>
            <w:r>
              <w:rPr>
                <w:noProof/>
                <w:webHidden/>
              </w:rPr>
              <w:t>11</w:t>
            </w:r>
            <w:r>
              <w:rPr>
                <w:noProof/>
                <w:webHidden/>
              </w:rPr>
              <w:fldChar w:fldCharType="end"/>
            </w:r>
          </w:hyperlink>
        </w:p>
        <w:p w14:paraId="3DE6F522" w14:textId="0ADBCDEC"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15" w:history="1">
            <w:r w:rsidRPr="00B1039B">
              <w:rPr>
                <w:rStyle w:val="Hyperlink"/>
                <w:noProof/>
              </w:rPr>
              <w:t>9. Enforcement</w:t>
            </w:r>
            <w:r>
              <w:rPr>
                <w:noProof/>
                <w:webHidden/>
              </w:rPr>
              <w:tab/>
            </w:r>
            <w:r>
              <w:rPr>
                <w:noProof/>
                <w:webHidden/>
              </w:rPr>
              <w:fldChar w:fldCharType="begin"/>
            </w:r>
            <w:r>
              <w:rPr>
                <w:noProof/>
                <w:webHidden/>
              </w:rPr>
              <w:instrText xml:space="preserve"> PAGEREF _Toc218493515 \h </w:instrText>
            </w:r>
            <w:r>
              <w:rPr>
                <w:noProof/>
                <w:webHidden/>
              </w:rPr>
            </w:r>
            <w:r>
              <w:rPr>
                <w:noProof/>
                <w:webHidden/>
              </w:rPr>
              <w:fldChar w:fldCharType="separate"/>
            </w:r>
            <w:r>
              <w:rPr>
                <w:noProof/>
                <w:webHidden/>
              </w:rPr>
              <w:t>11</w:t>
            </w:r>
            <w:r>
              <w:rPr>
                <w:noProof/>
                <w:webHidden/>
              </w:rPr>
              <w:fldChar w:fldCharType="end"/>
            </w:r>
          </w:hyperlink>
        </w:p>
        <w:p w14:paraId="6056DF2F" w14:textId="5E79A5BA" w:rsidR="00320299" w:rsidRDefault="00320299">
          <w:pPr>
            <w:pStyle w:val="TOC3"/>
            <w:tabs>
              <w:tab w:val="right" w:leader="dot" w:pos="9016"/>
            </w:tabs>
            <w:rPr>
              <w:rFonts w:eastAsiaTheme="minorEastAsia"/>
              <w:noProof/>
              <w:kern w:val="2"/>
              <w:sz w:val="24"/>
              <w:szCs w:val="24"/>
              <w:lang w:eastAsia="en-AU"/>
              <w14:ligatures w14:val="standardContextual"/>
            </w:rPr>
          </w:pPr>
          <w:hyperlink w:anchor="_Toc218493516" w:history="1">
            <w:r w:rsidRPr="00B1039B">
              <w:rPr>
                <w:rStyle w:val="Hyperlink"/>
                <w:noProof/>
              </w:rPr>
              <w:t>Compliance and enforcement tools</w:t>
            </w:r>
            <w:r>
              <w:rPr>
                <w:noProof/>
                <w:webHidden/>
              </w:rPr>
              <w:tab/>
            </w:r>
            <w:r>
              <w:rPr>
                <w:noProof/>
                <w:webHidden/>
              </w:rPr>
              <w:fldChar w:fldCharType="begin"/>
            </w:r>
            <w:r>
              <w:rPr>
                <w:noProof/>
                <w:webHidden/>
              </w:rPr>
              <w:instrText xml:space="preserve"> PAGEREF _Toc218493516 \h </w:instrText>
            </w:r>
            <w:r>
              <w:rPr>
                <w:noProof/>
                <w:webHidden/>
              </w:rPr>
            </w:r>
            <w:r>
              <w:rPr>
                <w:noProof/>
                <w:webHidden/>
              </w:rPr>
              <w:fldChar w:fldCharType="separate"/>
            </w:r>
            <w:r>
              <w:rPr>
                <w:noProof/>
                <w:webHidden/>
              </w:rPr>
              <w:t>12</w:t>
            </w:r>
            <w:r>
              <w:rPr>
                <w:noProof/>
                <w:webHidden/>
              </w:rPr>
              <w:fldChar w:fldCharType="end"/>
            </w:r>
          </w:hyperlink>
        </w:p>
        <w:p w14:paraId="7FBCF300" w14:textId="1DD09760" w:rsidR="00320299" w:rsidRDefault="00320299">
          <w:pPr>
            <w:pStyle w:val="TOC2"/>
            <w:tabs>
              <w:tab w:val="right" w:leader="dot" w:pos="9016"/>
            </w:tabs>
            <w:rPr>
              <w:rFonts w:eastAsiaTheme="minorEastAsia"/>
              <w:noProof/>
              <w:kern w:val="2"/>
              <w:sz w:val="24"/>
              <w:szCs w:val="24"/>
              <w:lang w:eastAsia="en-AU"/>
              <w14:ligatures w14:val="standardContextual"/>
            </w:rPr>
          </w:pPr>
          <w:hyperlink w:anchor="_Toc218493517" w:history="1">
            <w:r w:rsidRPr="00B1039B">
              <w:rPr>
                <w:rStyle w:val="Hyperlink"/>
                <w:noProof/>
              </w:rPr>
              <w:t>10. Administrative law principles</w:t>
            </w:r>
            <w:r>
              <w:rPr>
                <w:noProof/>
                <w:webHidden/>
              </w:rPr>
              <w:tab/>
            </w:r>
            <w:r>
              <w:rPr>
                <w:noProof/>
                <w:webHidden/>
              </w:rPr>
              <w:fldChar w:fldCharType="begin"/>
            </w:r>
            <w:r>
              <w:rPr>
                <w:noProof/>
                <w:webHidden/>
              </w:rPr>
              <w:instrText xml:space="preserve"> PAGEREF _Toc218493517 \h </w:instrText>
            </w:r>
            <w:r>
              <w:rPr>
                <w:noProof/>
                <w:webHidden/>
              </w:rPr>
            </w:r>
            <w:r>
              <w:rPr>
                <w:noProof/>
                <w:webHidden/>
              </w:rPr>
              <w:fldChar w:fldCharType="separate"/>
            </w:r>
            <w:r>
              <w:rPr>
                <w:noProof/>
                <w:webHidden/>
              </w:rPr>
              <w:t>14</w:t>
            </w:r>
            <w:r>
              <w:rPr>
                <w:noProof/>
                <w:webHidden/>
              </w:rPr>
              <w:fldChar w:fldCharType="end"/>
            </w:r>
          </w:hyperlink>
        </w:p>
        <w:p w14:paraId="0515CF34" w14:textId="0EC33A8B" w:rsidR="00D37A37" w:rsidRPr="00F57987" w:rsidRDefault="00D37A37">
          <w:pPr>
            <w:rPr>
              <w:rFonts w:ascii="Arial" w:hAnsi="Arial" w:cs="Arial"/>
            </w:rPr>
          </w:pPr>
          <w:r w:rsidRPr="00F57987">
            <w:rPr>
              <w:rFonts w:ascii="Arial" w:hAnsi="Arial" w:cs="Arial"/>
              <w:b/>
              <w:bCs/>
              <w:noProof/>
            </w:rPr>
            <w:fldChar w:fldCharType="end"/>
          </w:r>
        </w:p>
      </w:sdtContent>
    </w:sdt>
    <w:p w14:paraId="68BB700B" w14:textId="77777777" w:rsidR="00D37A37" w:rsidRPr="00F57987" w:rsidRDefault="00D37A37">
      <w:pPr>
        <w:rPr>
          <w:rFonts w:ascii="Arial" w:eastAsia="Times New Roman" w:hAnsi="Arial" w:cs="Arial"/>
          <w:bCs/>
          <w:color w:val="3F4A75"/>
          <w:kern w:val="28"/>
          <w:sz w:val="36"/>
          <w:szCs w:val="36"/>
          <w:lang w:eastAsia="en-AU"/>
        </w:rPr>
      </w:pPr>
      <w:r w:rsidRPr="00F57987">
        <w:rPr>
          <w:rFonts w:ascii="Arial" w:hAnsi="Arial" w:cs="Arial"/>
        </w:rPr>
        <w:br w:type="page"/>
      </w:r>
    </w:p>
    <w:p w14:paraId="48D737A2" w14:textId="17BB5704" w:rsidR="00D37A37" w:rsidRPr="00F57987" w:rsidRDefault="00D37A37" w:rsidP="00F57987">
      <w:pPr>
        <w:pStyle w:val="Title"/>
        <w:rPr>
          <w:b w:val="0"/>
          <w:bCs/>
          <w:sz w:val="36"/>
          <w:szCs w:val="36"/>
        </w:rPr>
      </w:pPr>
      <w:r w:rsidRPr="00F57987">
        <w:rPr>
          <w:b w:val="0"/>
          <w:bCs/>
          <w:sz w:val="36"/>
          <w:szCs w:val="36"/>
        </w:rPr>
        <w:lastRenderedPageBreak/>
        <w:t>Compliance and enforcement framework</w:t>
      </w:r>
      <w:bookmarkEnd w:id="0"/>
      <w:r w:rsidR="00AD7F72">
        <w:rPr>
          <w:b w:val="0"/>
          <w:bCs/>
          <w:sz w:val="36"/>
          <w:szCs w:val="36"/>
        </w:rPr>
        <w:t xml:space="preserve"> 2025-2</w:t>
      </w:r>
      <w:r w:rsidR="006011D1">
        <w:rPr>
          <w:b w:val="0"/>
          <w:bCs/>
          <w:sz w:val="36"/>
          <w:szCs w:val="36"/>
        </w:rPr>
        <w:t>02</w:t>
      </w:r>
      <w:r w:rsidR="00AD7F72">
        <w:rPr>
          <w:b w:val="0"/>
          <w:bCs/>
          <w:sz w:val="36"/>
          <w:szCs w:val="36"/>
        </w:rPr>
        <w:t>8</w:t>
      </w:r>
    </w:p>
    <w:p w14:paraId="037E21FD" w14:textId="77777777" w:rsidR="00D37A37" w:rsidRPr="00F57987" w:rsidRDefault="00D37A37" w:rsidP="00D37A37">
      <w:pPr>
        <w:pStyle w:val="Heading2"/>
        <w:spacing w:after="240"/>
      </w:pPr>
      <w:bookmarkStart w:id="1" w:name="_Toc111825245"/>
      <w:bookmarkStart w:id="2" w:name="_Toc218493495"/>
      <w:r w:rsidRPr="00F57987">
        <w:t>1. Introduction</w:t>
      </w:r>
      <w:bookmarkEnd w:id="1"/>
      <w:bookmarkEnd w:id="2"/>
    </w:p>
    <w:p w14:paraId="18EA9C1D" w14:textId="09988CA4" w:rsidR="00D37A37" w:rsidRPr="00F57987" w:rsidRDefault="00D37A37" w:rsidP="00D37A37">
      <w:pPr>
        <w:pStyle w:val="NormalWeb"/>
        <w:spacing w:before="240" w:beforeAutospacing="0" w:after="240" w:afterAutospacing="0"/>
        <w:rPr>
          <w:rFonts w:asciiTheme="minorHAnsi" w:hAnsiTheme="minorHAnsi" w:cstheme="minorHAnsi"/>
          <w:color w:val="222222"/>
          <w:sz w:val="22"/>
          <w:szCs w:val="22"/>
        </w:rPr>
      </w:pPr>
      <w:r w:rsidRPr="00F57987">
        <w:rPr>
          <w:rFonts w:asciiTheme="minorHAnsi" w:hAnsiTheme="minorHAnsi" w:cstheme="minorHAnsi"/>
          <w:color w:val="222222"/>
          <w:sz w:val="22"/>
          <w:szCs w:val="22"/>
        </w:rPr>
        <w:t>The Office of Drug Control (</w:t>
      </w:r>
      <w:r w:rsidRPr="00E96048">
        <w:rPr>
          <w:rFonts w:asciiTheme="minorHAnsi" w:hAnsiTheme="minorHAnsi" w:cstheme="minorHAnsi"/>
          <w:b/>
          <w:bCs/>
          <w:color w:val="222222"/>
          <w:sz w:val="22"/>
          <w:szCs w:val="22"/>
        </w:rPr>
        <w:t>ODC</w:t>
      </w:r>
      <w:r w:rsidRPr="00F57987">
        <w:rPr>
          <w:rFonts w:asciiTheme="minorHAnsi" w:hAnsiTheme="minorHAnsi" w:cstheme="minorHAnsi"/>
          <w:color w:val="222222"/>
          <w:sz w:val="22"/>
          <w:szCs w:val="22"/>
        </w:rPr>
        <w:t xml:space="preserve">), as part of the Department of </w:t>
      </w:r>
      <w:r w:rsidR="008B509B" w:rsidRPr="008B509B">
        <w:rPr>
          <w:rFonts w:asciiTheme="minorHAnsi" w:hAnsiTheme="minorHAnsi" w:cstheme="minorHAnsi"/>
          <w:color w:val="222222"/>
          <w:sz w:val="22"/>
          <w:szCs w:val="22"/>
        </w:rPr>
        <w:t>Health, Disability and Ageing</w:t>
      </w:r>
      <w:r w:rsidRPr="00F57987">
        <w:rPr>
          <w:rFonts w:asciiTheme="minorHAnsi" w:hAnsiTheme="minorHAnsi" w:cstheme="minorHAnsi"/>
          <w:color w:val="222222"/>
          <w:sz w:val="22"/>
          <w:szCs w:val="22"/>
        </w:rPr>
        <w:t>, regulates the import, export, cultivation, production and manufacture of controlled drugs as part of Australia’s obligations under the International Drug Conventions:</w:t>
      </w:r>
    </w:p>
    <w:p w14:paraId="7B73B6A9" w14:textId="7126FB51" w:rsidR="00D37A37" w:rsidRPr="00F57987" w:rsidRDefault="00D37A37" w:rsidP="00C45B2F">
      <w:pPr>
        <w:pStyle w:val="ListBullet"/>
        <w:rPr>
          <w:rFonts w:cstheme="minorHAnsi"/>
          <w:i/>
          <w:iCs/>
          <w:color w:val="222222"/>
        </w:rPr>
      </w:pPr>
      <w:hyperlink r:id="rId10" w:history="1">
        <w:r w:rsidRPr="00F57987">
          <w:rPr>
            <w:rStyle w:val="Hyperlink"/>
            <w:rFonts w:cstheme="minorHAnsi"/>
            <w:i/>
            <w:iCs/>
          </w:rPr>
          <w:t xml:space="preserve">Single Convention of Narcotic Drugs 1961 </w:t>
        </w:r>
        <w:r w:rsidR="003E5F27">
          <w:rPr>
            <w:rStyle w:val="Hyperlink"/>
            <w:rFonts w:cstheme="minorHAnsi"/>
            <w:i/>
            <w:iCs/>
          </w:rPr>
          <w:t>(</w:t>
        </w:r>
        <w:r w:rsidRPr="00F57987">
          <w:rPr>
            <w:rStyle w:val="Hyperlink"/>
            <w:rFonts w:cstheme="minorHAnsi"/>
            <w:i/>
            <w:iCs/>
          </w:rPr>
          <w:t>as amended by the 1972 protoco</w:t>
        </w:r>
        <w:r w:rsidR="003E5F27">
          <w:rPr>
            <w:rStyle w:val="Hyperlink"/>
            <w:rFonts w:cstheme="minorHAnsi"/>
            <w:i/>
            <w:iCs/>
          </w:rPr>
          <w:t>l)</w:t>
        </w:r>
      </w:hyperlink>
    </w:p>
    <w:p w14:paraId="21335F17" w14:textId="33081D95" w:rsidR="00D37A37" w:rsidRPr="00F57987" w:rsidRDefault="00D37A37" w:rsidP="00C45B2F">
      <w:pPr>
        <w:pStyle w:val="ListBullet"/>
        <w:rPr>
          <w:rFonts w:cstheme="minorHAnsi"/>
          <w:i/>
          <w:iCs/>
          <w:color w:val="222222"/>
        </w:rPr>
      </w:pPr>
      <w:hyperlink r:id="rId11" w:history="1">
        <w:r w:rsidRPr="00F57987">
          <w:rPr>
            <w:rStyle w:val="Hyperlink"/>
            <w:rFonts w:cstheme="minorHAnsi"/>
            <w:i/>
            <w:iCs/>
          </w:rPr>
          <w:t>Convention on Psychotropic Substances 1971</w:t>
        </w:r>
      </w:hyperlink>
    </w:p>
    <w:p w14:paraId="4AD3CC32" w14:textId="77777777" w:rsidR="00D37A37" w:rsidRPr="00F57987" w:rsidRDefault="00D37A37" w:rsidP="00C45B2F">
      <w:pPr>
        <w:pStyle w:val="ListBullet"/>
        <w:rPr>
          <w:rFonts w:cstheme="minorHAnsi"/>
          <w:i/>
          <w:iCs/>
          <w:color w:val="222222"/>
        </w:rPr>
      </w:pPr>
      <w:hyperlink r:id="rId12" w:history="1">
        <w:r w:rsidRPr="00F57987">
          <w:rPr>
            <w:rStyle w:val="Hyperlink"/>
            <w:rFonts w:cstheme="minorHAnsi"/>
            <w:i/>
            <w:iCs/>
          </w:rPr>
          <w:t>United Nations Convention against illicit traffic in Narcotic Drugs and Psychotropic Substances of 1988</w:t>
        </w:r>
      </w:hyperlink>
      <w:r w:rsidRPr="00F57987">
        <w:rPr>
          <w:rFonts w:cstheme="minorHAnsi"/>
          <w:i/>
          <w:iCs/>
          <w:color w:val="222222"/>
        </w:rPr>
        <w:t>.</w:t>
      </w:r>
    </w:p>
    <w:p w14:paraId="3A4D8802" w14:textId="6EFB4C61" w:rsidR="00D37A37" w:rsidRPr="00F57987" w:rsidRDefault="00D37A37" w:rsidP="00D37A37">
      <w:pPr>
        <w:pStyle w:val="NormalWeb"/>
        <w:spacing w:before="240" w:after="240"/>
        <w:rPr>
          <w:rFonts w:asciiTheme="minorHAnsi" w:hAnsiTheme="minorHAnsi" w:cstheme="minorHAnsi"/>
          <w:color w:val="222222"/>
          <w:sz w:val="22"/>
          <w:szCs w:val="22"/>
        </w:rPr>
      </w:pPr>
      <w:r w:rsidRPr="00F57987">
        <w:rPr>
          <w:rFonts w:asciiTheme="minorHAnsi" w:hAnsiTheme="minorHAnsi" w:cstheme="minorHAnsi"/>
          <w:color w:val="222222"/>
          <w:sz w:val="22"/>
          <w:szCs w:val="22"/>
        </w:rPr>
        <w:t xml:space="preserve">The purpose of the drug conventions </w:t>
      </w:r>
      <w:r w:rsidR="0059452E">
        <w:rPr>
          <w:rFonts w:asciiTheme="minorHAnsi" w:hAnsiTheme="minorHAnsi" w:cstheme="minorHAnsi"/>
          <w:color w:val="222222"/>
          <w:sz w:val="22"/>
          <w:szCs w:val="22"/>
        </w:rPr>
        <w:t>is</w:t>
      </w:r>
      <w:r w:rsidR="0059452E" w:rsidRPr="00F57987">
        <w:rPr>
          <w:rFonts w:asciiTheme="minorHAnsi" w:hAnsiTheme="minorHAnsi" w:cstheme="minorHAnsi"/>
          <w:color w:val="222222"/>
          <w:sz w:val="22"/>
          <w:szCs w:val="22"/>
        </w:rPr>
        <w:t xml:space="preserve"> </w:t>
      </w:r>
      <w:r w:rsidRPr="00F57987">
        <w:rPr>
          <w:rFonts w:asciiTheme="minorHAnsi" w:hAnsiTheme="minorHAnsi" w:cstheme="minorHAnsi"/>
          <w:color w:val="222222"/>
          <w:sz w:val="22"/>
          <w:szCs w:val="22"/>
        </w:rPr>
        <w:t>to provide an international framework that recognises the medicinal and scientific value of narcotic and psychotropic drugs and ensure that these drugs are available for legitimate purposes.</w:t>
      </w:r>
    </w:p>
    <w:p w14:paraId="7058EE14" w14:textId="08D4AE54" w:rsidR="00C80B81" w:rsidRDefault="00C80B81" w:rsidP="00D37A37">
      <w:pPr>
        <w:pStyle w:val="NormalWeb"/>
        <w:spacing w:before="240" w:after="240"/>
        <w:rPr>
          <w:rFonts w:asciiTheme="minorHAnsi" w:hAnsiTheme="minorHAnsi" w:cstheme="minorHAnsi"/>
          <w:color w:val="222222"/>
          <w:sz w:val="22"/>
          <w:szCs w:val="22"/>
        </w:rPr>
      </w:pPr>
      <w:r w:rsidRPr="00C80B81">
        <w:rPr>
          <w:rFonts w:asciiTheme="minorHAnsi" w:hAnsiTheme="minorHAnsi" w:cstheme="minorHAnsi"/>
          <w:bCs/>
          <w:color w:val="222222"/>
          <w:sz w:val="22"/>
          <w:szCs w:val="22"/>
        </w:rPr>
        <w:t xml:space="preserve">Our core regulatory functions are undertaken by the </w:t>
      </w:r>
      <w:r w:rsidRPr="000A30CB">
        <w:rPr>
          <w:rFonts w:asciiTheme="minorHAnsi" w:hAnsiTheme="minorHAnsi" w:cstheme="minorHAnsi"/>
          <w:b/>
          <w:color w:val="222222"/>
          <w:sz w:val="22"/>
          <w:szCs w:val="22"/>
        </w:rPr>
        <w:t>Narcotics Control Section</w:t>
      </w:r>
      <w:r w:rsidRPr="00C80B81">
        <w:rPr>
          <w:rFonts w:asciiTheme="minorHAnsi" w:hAnsiTheme="minorHAnsi" w:cstheme="minorHAnsi"/>
          <w:bCs/>
          <w:color w:val="222222"/>
          <w:sz w:val="22"/>
          <w:szCs w:val="22"/>
        </w:rPr>
        <w:t xml:space="preserve">, the </w:t>
      </w:r>
      <w:r w:rsidRPr="000A30CB">
        <w:rPr>
          <w:rFonts w:asciiTheme="minorHAnsi" w:hAnsiTheme="minorHAnsi" w:cstheme="minorHAnsi"/>
          <w:b/>
          <w:color w:val="222222"/>
          <w:sz w:val="22"/>
          <w:szCs w:val="22"/>
        </w:rPr>
        <w:t>Medicinal Cannabis Section</w:t>
      </w:r>
      <w:r w:rsidRPr="00C80B81">
        <w:rPr>
          <w:rFonts w:asciiTheme="minorHAnsi" w:hAnsiTheme="minorHAnsi" w:cstheme="minorHAnsi"/>
          <w:bCs/>
          <w:color w:val="222222"/>
          <w:sz w:val="22"/>
          <w:szCs w:val="22"/>
        </w:rPr>
        <w:t xml:space="preserve">, and the </w:t>
      </w:r>
      <w:r w:rsidRPr="000A30CB">
        <w:rPr>
          <w:rFonts w:asciiTheme="minorHAnsi" w:hAnsiTheme="minorHAnsi" w:cstheme="minorHAnsi"/>
          <w:b/>
          <w:color w:val="222222"/>
          <w:sz w:val="22"/>
          <w:szCs w:val="22"/>
        </w:rPr>
        <w:t>Monitoring and Compliance Section</w:t>
      </w:r>
      <w:r w:rsidRPr="00C80B81">
        <w:rPr>
          <w:rFonts w:asciiTheme="minorHAnsi" w:hAnsiTheme="minorHAnsi" w:cstheme="minorHAnsi"/>
          <w:bCs/>
          <w:color w:val="222222"/>
          <w:sz w:val="22"/>
          <w:szCs w:val="22"/>
        </w:rPr>
        <w:t xml:space="preserve">. </w:t>
      </w:r>
    </w:p>
    <w:p w14:paraId="48FB3B46" w14:textId="6844243A" w:rsidR="00BB051A" w:rsidRDefault="00D24E7B" w:rsidP="00C45B2F">
      <w:pPr>
        <w:pStyle w:val="ListBullet"/>
      </w:pPr>
      <w:r w:rsidRPr="0059068E">
        <w:rPr>
          <w:b/>
          <w:bCs/>
        </w:rPr>
        <w:t>Medicinal Cannabis Section</w:t>
      </w:r>
      <w:r w:rsidR="00F51FB5">
        <w:t xml:space="preserve"> </w:t>
      </w:r>
      <w:r w:rsidR="00827BF2" w:rsidRPr="00FC6B33">
        <w:t>–</w:t>
      </w:r>
      <w:r w:rsidR="009C4217">
        <w:t xml:space="preserve"> </w:t>
      </w:r>
      <w:r w:rsidR="00BB051A" w:rsidRPr="00BB051A">
        <w:t>assesses licence and permit applications for the cultivation, production, and manufacture of medicinal cannabis under the</w:t>
      </w:r>
      <w:r w:rsidR="00116FC6">
        <w:t xml:space="preserve"> </w:t>
      </w:r>
      <w:hyperlink r:id="rId13" w:history="1">
        <w:r w:rsidR="00116FC6">
          <w:rPr>
            <w:rStyle w:val="Hyperlink"/>
            <w:rFonts w:cstheme="minorHAnsi"/>
            <w:i/>
            <w:iCs/>
          </w:rPr>
          <w:t>Narcotic Drugs Act 1967</w:t>
        </w:r>
      </w:hyperlink>
      <w:r w:rsidR="00A66849" w:rsidRPr="00FC6B33">
        <w:rPr>
          <w:i/>
          <w:iCs/>
        </w:rPr>
        <w:t xml:space="preserve"> </w:t>
      </w:r>
      <w:r w:rsidR="00A66849" w:rsidRPr="00FC6B33">
        <w:t>(</w:t>
      </w:r>
      <w:r w:rsidR="00A66849" w:rsidRPr="007E3BFD">
        <w:rPr>
          <w:b/>
          <w:bCs/>
        </w:rPr>
        <w:t>Narcotic Drugs Act</w:t>
      </w:r>
      <w:r w:rsidR="00A66849" w:rsidRPr="00FC6B33">
        <w:t>)</w:t>
      </w:r>
      <w:r w:rsidR="00BB051A">
        <w:t>. This section also performs various</w:t>
      </w:r>
      <w:r w:rsidR="00D22488" w:rsidRPr="00D22488">
        <w:t xml:space="preserve"> administrative functions that </w:t>
      </w:r>
      <w:r w:rsidR="00BB051A">
        <w:t>help</w:t>
      </w:r>
      <w:r w:rsidR="00D22488" w:rsidRPr="00D22488">
        <w:t xml:space="preserve"> the </w:t>
      </w:r>
      <w:r w:rsidR="00BB051A">
        <w:t>ODC meet its regulatory obligations</w:t>
      </w:r>
      <w:r w:rsidR="00434A2A">
        <w:t>,</w:t>
      </w:r>
      <w:r w:rsidR="00BB051A">
        <w:t xml:space="preserve"> and </w:t>
      </w:r>
      <w:r w:rsidR="009E1595">
        <w:t>administers the medicinal cannabis cost recovery framework</w:t>
      </w:r>
      <w:r w:rsidR="00D22488" w:rsidRPr="00D22488">
        <w:t>.</w:t>
      </w:r>
    </w:p>
    <w:p w14:paraId="3F571781" w14:textId="7BD5E2FA" w:rsidR="00401BDF" w:rsidRPr="00401BDF" w:rsidRDefault="00A64B2C" w:rsidP="00C45B2F">
      <w:pPr>
        <w:pStyle w:val="ListBullet"/>
      </w:pPr>
      <w:bookmarkStart w:id="3" w:name="_Hlk211588577"/>
      <w:r w:rsidRPr="00401BDF">
        <w:rPr>
          <w:b/>
          <w:bCs/>
        </w:rPr>
        <w:t xml:space="preserve">Narcotics Control </w:t>
      </w:r>
      <w:r w:rsidR="00D24E7B" w:rsidRPr="00401BDF">
        <w:rPr>
          <w:b/>
          <w:bCs/>
        </w:rPr>
        <w:t>Section</w:t>
      </w:r>
      <w:r w:rsidR="00D24E7B" w:rsidRPr="00401BDF">
        <w:t xml:space="preserve"> </w:t>
      </w:r>
      <w:r w:rsidR="00827BF2" w:rsidRPr="00FC6B33">
        <w:t>–</w:t>
      </w:r>
      <w:r w:rsidR="009C4217" w:rsidRPr="00401BDF">
        <w:t xml:space="preserve"> </w:t>
      </w:r>
      <w:r w:rsidR="00401BDF" w:rsidRPr="00401BDF">
        <w:t>regulat</w:t>
      </w:r>
      <w:r w:rsidR="002A38DE">
        <w:t>es</w:t>
      </w:r>
      <w:r w:rsidR="00401BDF" w:rsidRPr="00401BDF">
        <w:t xml:space="preserve"> the manufacture of narcotic drugs and the import and export of controlled drugs in Australia through licensing and permits. It ensures compliance with international </w:t>
      </w:r>
      <w:r w:rsidR="003E5F27">
        <w:t xml:space="preserve">drug </w:t>
      </w:r>
      <w:r w:rsidR="00401BDF" w:rsidRPr="00401BDF">
        <w:t>treaties and collaborates with bodies like the International Narcotics Control Board (</w:t>
      </w:r>
      <w:r w:rsidR="00401BDF" w:rsidRPr="003E5F27">
        <w:rPr>
          <w:b/>
          <w:bCs/>
        </w:rPr>
        <w:t>INCB</w:t>
      </w:r>
      <w:r w:rsidR="00401BDF" w:rsidRPr="00401BDF">
        <w:t>) and domestic law enforcement. The section collects and reports data on controlled substances, supports industry and government agencies with guidance and operational coordination, and administers key legislation, playing a vital role in maintaining regulatory oversight and supporting secure, lawful handling of narcotics and related substances.</w:t>
      </w:r>
    </w:p>
    <w:p w14:paraId="31164A99" w14:textId="5E22C016" w:rsidR="00B948D4" w:rsidRPr="00B948D4" w:rsidRDefault="00B948D4" w:rsidP="00C45B2F">
      <w:pPr>
        <w:pStyle w:val="ListBullet"/>
      </w:pPr>
      <w:bookmarkStart w:id="4" w:name="_Hlk213430869"/>
      <w:bookmarkEnd w:id="3"/>
      <w:r w:rsidRPr="00FC6B33">
        <w:rPr>
          <w:b/>
          <w:bCs/>
        </w:rPr>
        <w:t>Monitoring and Compliance Section</w:t>
      </w:r>
      <w:r w:rsidRPr="00FC6B33">
        <w:t xml:space="preserve"> –</w:t>
      </w:r>
      <w:r>
        <w:t xml:space="preserve"> </w:t>
      </w:r>
      <w:r w:rsidRPr="00B948D4">
        <w:t xml:space="preserve">ensures the effective compliance of licence and permit holders in meeting their obligations under </w:t>
      </w:r>
      <w:r>
        <w:t>relevant legislation</w:t>
      </w:r>
      <w:r w:rsidR="0044484D">
        <w:t>,</w:t>
      </w:r>
      <w:r>
        <w:t xml:space="preserve"> including </w:t>
      </w:r>
      <w:r w:rsidRPr="00B948D4">
        <w:t xml:space="preserve">the Narcotic Drugs Act. The section employs a range of legislative tools and engagement practices to ensure </w:t>
      </w:r>
      <w:r w:rsidRPr="00FC6B33">
        <w:t>regulated persons</w:t>
      </w:r>
      <w:r>
        <w:rPr>
          <w:rStyle w:val="FootnoteReference"/>
          <w:rFonts w:cstheme="minorHAnsi"/>
          <w:color w:val="222222"/>
        </w:rPr>
        <w:footnoteReference w:id="1"/>
      </w:r>
      <w:r w:rsidRPr="00B948D4">
        <w:t xml:space="preserve"> comply with their legislative obligations and takes appropriate and proportionate action when required. The section works with international and domestic partners</w:t>
      </w:r>
      <w:r>
        <w:t>,</w:t>
      </w:r>
      <w:r w:rsidRPr="00B948D4">
        <w:t xml:space="preserve"> including engaging with Commonwealth, </w:t>
      </w:r>
      <w:r w:rsidR="00F64F3E">
        <w:t>s</w:t>
      </w:r>
      <w:r w:rsidRPr="00B948D4">
        <w:t xml:space="preserve">tate and </w:t>
      </w:r>
      <w:r w:rsidR="00F64F3E">
        <w:t>t</w:t>
      </w:r>
      <w:r w:rsidRPr="00B948D4">
        <w:t>erritory government agencies and law enforcement at all levels</w:t>
      </w:r>
      <w:r>
        <w:t>,</w:t>
      </w:r>
      <w:r w:rsidRPr="00B948D4">
        <w:t xml:space="preserve"> to exchange information and manage regulatory compliance risks including resolving cross-jurisdictional issues.</w:t>
      </w:r>
    </w:p>
    <w:bookmarkEnd w:id="4"/>
    <w:p w14:paraId="1E281F42" w14:textId="1CB3570F" w:rsidR="004D2343" w:rsidRDefault="008032E0" w:rsidP="00D743EA">
      <w:pPr>
        <w:widowControl w:val="0"/>
        <w:rPr>
          <w:rFonts w:eastAsia="Times New Roman" w:cstheme="minorHAnsi"/>
          <w:color w:val="222222"/>
          <w:lang w:val="en-US" w:eastAsia="en-AU"/>
        </w:rPr>
      </w:pPr>
      <w:r w:rsidRPr="008032E0">
        <w:rPr>
          <w:rFonts w:eastAsia="Times New Roman" w:cstheme="minorHAnsi"/>
          <w:color w:val="222222"/>
          <w:lang w:val="en-US" w:eastAsia="en-AU"/>
        </w:rPr>
        <w:t xml:space="preserve">This Compliance Framework outlines how the ODC will regulate the </w:t>
      </w:r>
      <w:r w:rsidR="000F6172">
        <w:rPr>
          <w:rFonts w:eastAsia="Times New Roman" w:cstheme="minorHAnsi"/>
          <w:color w:val="222222"/>
          <w:lang w:val="en-US" w:eastAsia="en-AU"/>
        </w:rPr>
        <w:t xml:space="preserve">cultivation, production, </w:t>
      </w:r>
      <w:r w:rsidRPr="008032E0">
        <w:rPr>
          <w:rFonts w:eastAsia="Times New Roman" w:cstheme="minorHAnsi"/>
          <w:color w:val="222222"/>
          <w:lang w:val="en-US" w:eastAsia="en-AU"/>
        </w:rPr>
        <w:t xml:space="preserve">manufacture, import, export, and supply of controlled substances in Australia over the period </w:t>
      </w:r>
      <w:r w:rsidR="000548AB">
        <w:rPr>
          <w:rFonts w:eastAsia="Times New Roman" w:cstheme="minorHAnsi"/>
          <w:color w:val="222222"/>
          <w:lang w:val="en-US" w:eastAsia="en-AU"/>
        </w:rPr>
        <w:t xml:space="preserve">  </w:t>
      </w:r>
      <w:r w:rsidRPr="008032E0">
        <w:rPr>
          <w:rFonts w:eastAsia="Times New Roman" w:cstheme="minorHAnsi"/>
          <w:color w:val="222222"/>
          <w:lang w:val="en-US" w:eastAsia="en-AU"/>
        </w:rPr>
        <w:t>2025–2</w:t>
      </w:r>
      <w:r w:rsidR="00F82C60">
        <w:rPr>
          <w:rFonts w:eastAsia="Times New Roman" w:cstheme="minorHAnsi"/>
          <w:color w:val="222222"/>
          <w:lang w:val="en-US" w:eastAsia="en-AU"/>
        </w:rPr>
        <w:t>02</w:t>
      </w:r>
      <w:r w:rsidRPr="008032E0">
        <w:rPr>
          <w:rFonts w:eastAsia="Times New Roman" w:cstheme="minorHAnsi"/>
          <w:color w:val="222222"/>
          <w:lang w:val="en-US" w:eastAsia="en-AU"/>
        </w:rPr>
        <w:t xml:space="preserve">8. It ensures our regulatory approach is proportionate, intelligence-led, transparent, and capable of </w:t>
      </w:r>
      <w:r w:rsidRPr="00AF3DAB">
        <w:rPr>
          <w:rFonts w:eastAsia="Times New Roman" w:cstheme="minorHAnsi"/>
          <w:color w:val="222222"/>
          <w:lang w:val="en-US" w:eastAsia="en-AU"/>
        </w:rPr>
        <w:t>responding to emerging risks and obligations.</w:t>
      </w:r>
    </w:p>
    <w:p w14:paraId="35E0B785" w14:textId="265802DE" w:rsidR="00C051CD" w:rsidRPr="00AF3DAB" w:rsidRDefault="00C051CD" w:rsidP="005A739F">
      <w:pPr>
        <w:pStyle w:val="Heading3"/>
      </w:pPr>
      <w:bookmarkStart w:id="5" w:name="_Toc218493496"/>
      <w:r w:rsidRPr="00AF3DAB">
        <w:rPr>
          <w:lang w:val="en-US"/>
        </w:rPr>
        <w:lastRenderedPageBreak/>
        <w:t>E</w:t>
      </w:r>
      <w:r w:rsidR="00C1743F">
        <w:rPr>
          <w:lang w:val="en-US"/>
        </w:rPr>
        <w:t>nhance stakeholder</w:t>
      </w:r>
      <w:r w:rsidRPr="00AF3DAB">
        <w:rPr>
          <w:lang w:val="en-US"/>
        </w:rPr>
        <w:t xml:space="preserve"> </w:t>
      </w:r>
      <w:r w:rsidR="00C1743F">
        <w:rPr>
          <w:lang w:val="en-US"/>
        </w:rPr>
        <w:t>engagement and collaboration</w:t>
      </w:r>
      <w:bookmarkEnd w:id="5"/>
      <w:r w:rsidR="00C1743F" w:rsidRPr="00AF3DAB">
        <w:t> </w:t>
      </w:r>
    </w:p>
    <w:p w14:paraId="08ED458F" w14:textId="16657669" w:rsidR="00C051CD" w:rsidRPr="00AF3DAB" w:rsidRDefault="001D4EFD" w:rsidP="00C051CD">
      <w:pPr>
        <w:spacing w:after="160"/>
        <w:rPr>
          <w:rFonts w:cstheme="minorHAnsi"/>
        </w:rPr>
      </w:pPr>
      <w:r>
        <w:rPr>
          <w:rFonts w:cstheme="minorHAnsi"/>
        </w:rPr>
        <w:t>The ODC</w:t>
      </w:r>
      <w:r w:rsidRPr="00AF3DAB">
        <w:rPr>
          <w:rFonts w:cstheme="minorHAnsi"/>
        </w:rPr>
        <w:t xml:space="preserve"> </w:t>
      </w:r>
      <w:r w:rsidR="00C051CD" w:rsidRPr="00AF3DAB">
        <w:rPr>
          <w:rFonts w:cstheme="minorHAnsi"/>
        </w:rPr>
        <w:t xml:space="preserve">will be open and responsive to feedback about our processes and regulatory decisions. </w:t>
      </w:r>
      <w:r>
        <w:rPr>
          <w:rFonts w:cstheme="minorHAnsi"/>
        </w:rPr>
        <w:t>The ODC</w:t>
      </w:r>
      <w:r w:rsidR="00C051CD" w:rsidRPr="00AF3DAB">
        <w:rPr>
          <w:rFonts w:cstheme="minorHAnsi"/>
        </w:rPr>
        <w:t xml:space="preserve"> engage</w:t>
      </w:r>
      <w:r w:rsidR="007A50A5">
        <w:rPr>
          <w:rFonts w:cstheme="minorHAnsi"/>
        </w:rPr>
        <w:t>s</w:t>
      </w:r>
      <w:r w:rsidR="00C051CD" w:rsidRPr="00AF3DAB">
        <w:rPr>
          <w:rFonts w:cstheme="minorHAnsi"/>
        </w:rPr>
        <w:t xml:space="preserve"> regularly with stakeholders and offer</w:t>
      </w:r>
      <w:r w:rsidR="007A50A5">
        <w:rPr>
          <w:rFonts w:cstheme="minorHAnsi"/>
        </w:rPr>
        <w:t>s</w:t>
      </w:r>
      <w:r w:rsidR="00C051CD" w:rsidRPr="00AF3DAB">
        <w:rPr>
          <w:rFonts w:cstheme="minorHAnsi"/>
        </w:rPr>
        <w:t xml:space="preserve"> a range of mechanisms for the public and regulated </w:t>
      </w:r>
      <w:r w:rsidR="008817F8">
        <w:rPr>
          <w:rFonts w:cstheme="minorHAnsi"/>
        </w:rPr>
        <w:t>persons</w:t>
      </w:r>
      <w:r w:rsidR="008817F8" w:rsidRPr="00AF3DAB">
        <w:rPr>
          <w:rFonts w:cstheme="minorHAnsi"/>
        </w:rPr>
        <w:t xml:space="preserve"> </w:t>
      </w:r>
      <w:r w:rsidR="00C051CD" w:rsidRPr="00AF3DAB">
        <w:rPr>
          <w:rFonts w:cstheme="minorHAnsi"/>
        </w:rPr>
        <w:t>to engage with us and provide feedback</w:t>
      </w:r>
      <w:r w:rsidR="00736955">
        <w:rPr>
          <w:rFonts w:cstheme="minorHAnsi"/>
        </w:rPr>
        <w:t>, including:</w:t>
      </w:r>
      <w:r w:rsidR="00C051CD" w:rsidRPr="00AF3DAB">
        <w:rPr>
          <w:rFonts w:cstheme="minorHAnsi"/>
        </w:rPr>
        <w:t> </w:t>
      </w:r>
    </w:p>
    <w:p w14:paraId="2E580BC8" w14:textId="6E95EF73" w:rsidR="00C051CD" w:rsidRPr="00A0245B" w:rsidRDefault="00C051CD" w:rsidP="00C45B2F">
      <w:pPr>
        <w:pStyle w:val="ListBullet"/>
      </w:pPr>
      <w:r w:rsidRPr="00AF3DAB">
        <w:rPr>
          <w:noProof/>
        </w:rPr>
        <w:drawing>
          <wp:inline distT="0" distB="0" distL="0" distR="0" wp14:anchorId="6A19A977" wp14:editId="758735A2">
            <wp:extent cx="6985" cy="6985"/>
            <wp:effectExtent l="0" t="0" r="0" b="0"/>
            <wp:docPr id="170173453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A0245B">
        <w:t>undertak</w:t>
      </w:r>
      <w:r w:rsidR="00736955">
        <w:t>ing</w:t>
      </w:r>
      <w:r w:rsidRPr="00A0245B">
        <w:t xml:space="preserve"> compliance campaign</w:t>
      </w:r>
      <w:r w:rsidR="008817F8">
        <w:t>s</w:t>
      </w:r>
      <w:r w:rsidRPr="00A0245B">
        <w:t xml:space="preserve"> aligned to our Compliance Enforcement Strategy 2025-</w:t>
      </w:r>
      <w:r w:rsidR="00F103E5">
        <w:t>20</w:t>
      </w:r>
      <w:r w:rsidRPr="00A0245B">
        <w:t>28. The campaign</w:t>
      </w:r>
      <w:r w:rsidR="008817F8">
        <w:t>s</w:t>
      </w:r>
      <w:r w:rsidRPr="00A0245B">
        <w:t xml:space="preserve"> will be designed to inform and educate</w:t>
      </w:r>
      <w:r w:rsidR="00F82C60">
        <w:t xml:space="preserve"> stakeholders </w:t>
      </w:r>
      <w:r w:rsidRPr="00A0245B">
        <w:t>on regulatory compliance matters with the aim of encouraging best practice procedures.   </w:t>
      </w:r>
    </w:p>
    <w:p w14:paraId="2679DE6E" w14:textId="2176A627" w:rsidR="001710CB" w:rsidRDefault="00A47C7D" w:rsidP="00C45B2F">
      <w:pPr>
        <w:pStyle w:val="ListBullet"/>
      </w:pPr>
      <w:r>
        <w:t>c</w:t>
      </w:r>
      <w:r w:rsidR="00C051CD" w:rsidRPr="00A0245B">
        <w:t>ontinu</w:t>
      </w:r>
      <w:r w:rsidR="00736955">
        <w:t>ing</w:t>
      </w:r>
      <w:r w:rsidR="00C051CD" w:rsidRPr="00A0245B">
        <w:t xml:space="preserve"> to build stronger </w:t>
      </w:r>
      <w:r w:rsidR="00736955">
        <w:t xml:space="preserve">stakeholder </w:t>
      </w:r>
      <w:r w:rsidR="00C051CD" w:rsidRPr="00A0245B">
        <w:t xml:space="preserve">relationships, </w:t>
      </w:r>
      <w:r w:rsidR="00736955">
        <w:t xml:space="preserve">including </w:t>
      </w:r>
      <w:r w:rsidR="00C051CD" w:rsidRPr="00A0245B">
        <w:t xml:space="preserve">looking for opportunities to cooperate with law enforcement, </w:t>
      </w:r>
      <w:r w:rsidR="002E7BE9">
        <w:t>s</w:t>
      </w:r>
      <w:r w:rsidR="00C051CD" w:rsidRPr="00A0245B">
        <w:t xml:space="preserve">tate and </w:t>
      </w:r>
      <w:r w:rsidR="002E7BE9">
        <w:t>t</w:t>
      </w:r>
      <w:r w:rsidR="00C051CD" w:rsidRPr="00A0245B">
        <w:t xml:space="preserve">erritory </w:t>
      </w:r>
      <w:r w:rsidR="00291564">
        <w:t>r</w:t>
      </w:r>
      <w:r w:rsidR="00C051CD" w:rsidRPr="00A0245B">
        <w:t>egulators and other agencies</w:t>
      </w:r>
      <w:r w:rsidR="00736955">
        <w:t>.</w:t>
      </w:r>
    </w:p>
    <w:p w14:paraId="5EB5A742" w14:textId="4F92A87B" w:rsidR="00C47BCD" w:rsidRPr="00A0245B" w:rsidRDefault="00C47BCD" w:rsidP="00C45B2F">
      <w:pPr>
        <w:pStyle w:val="ListBullet"/>
      </w:pPr>
      <w:r>
        <w:rPr>
          <w:color w:val="222222"/>
        </w:rPr>
        <w:t xml:space="preserve">collaborating </w:t>
      </w:r>
      <w:r w:rsidRPr="00401BDF">
        <w:rPr>
          <w:color w:val="222222"/>
        </w:rPr>
        <w:t xml:space="preserve">with </w:t>
      </w:r>
      <w:r>
        <w:rPr>
          <w:color w:val="222222"/>
        </w:rPr>
        <w:t>international partners,</w:t>
      </w:r>
      <w:r w:rsidRPr="00401BDF">
        <w:rPr>
          <w:color w:val="222222"/>
        </w:rPr>
        <w:t xml:space="preserve"> </w:t>
      </w:r>
      <w:r>
        <w:rPr>
          <w:color w:val="222222"/>
        </w:rPr>
        <w:t>including</w:t>
      </w:r>
      <w:r w:rsidRPr="00401BDF">
        <w:rPr>
          <w:color w:val="222222"/>
        </w:rPr>
        <w:t xml:space="preserve"> </w:t>
      </w:r>
      <w:r w:rsidRPr="00FF344D">
        <w:rPr>
          <w:color w:val="222222"/>
        </w:rPr>
        <w:t>INCB</w:t>
      </w:r>
      <w:r>
        <w:rPr>
          <w:color w:val="222222"/>
        </w:rPr>
        <w:t>.</w:t>
      </w:r>
    </w:p>
    <w:p w14:paraId="7971FAA3" w14:textId="38E408CC" w:rsidR="00CB1076" w:rsidRPr="00BB051A" w:rsidRDefault="00A47C7D" w:rsidP="00C45B2F">
      <w:pPr>
        <w:pStyle w:val="ListBullet"/>
      </w:pPr>
      <w:r>
        <w:t>w</w:t>
      </w:r>
      <w:r w:rsidR="001710CB" w:rsidRPr="00A0245B">
        <w:t>ork</w:t>
      </w:r>
      <w:r w:rsidR="00736955">
        <w:t>ing</w:t>
      </w:r>
      <w:r w:rsidR="001710CB" w:rsidRPr="00A0245B">
        <w:t xml:space="preserve"> with </w:t>
      </w:r>
      <w:r w:rsidR="00291564">
        <w:t>i</w:t>
      </w:r>
      <w:r w:rsidR="001710CB" w:rsidRPr="00A0245B">
        <w:t xml:space="preserve">ndustry </w:t>
      </w:r>
      <w:r w:rsidR="00291564">
        <w:t>p</w:t>
      </w:r>
      <w:r w:rsidR="001710CB" w:rsidRPr="00A0245B">
        <w:t xml:space="preserve">eak </w:t>
      </w:r>
      <w:r w:rsidR="00291564">
        <w:t>b</w:t>
      </w:r>
      <w:r w:rsidR="001710CB" w:rsidRPr="00A0245B">
        <w:t>odies and licence and permit holders to share trends and identified risks</w:t>
      </w:r>
      <w:r w:rsidR="00C051CD" w:rsidRPr="00A0245B">
        <w:t>.  </w:t>
      </w:r>
    </w:p>
    <w:p w14:paraId="384CDE0C" w14:textId="3ED0F6E8" w:rsidR="00C051CD" w:rsidRPr="00AA6879" w:rsidRDefault="00C051CD" w:rsidP="005A739F">
      <w:pPr>
        <w:pStyle w:val="Heading3"/>
      </w:pPr>
      <w:bookmarkStart w:id="6" w:name="_Toc218493497"/>
      <w:r w:rsidRPr="00AA6879">
        <w:rPr>
          <w:lang w:val="en-US"/>
        </w:rPr>
        <w:t>P</w:t>
      </w:r>
      <w:r w:rsidR="00C1743F">
        <w:rPr>
          <w:lang w:val="en-US"/>
        </w:rPr>
        <w:t>romote compliance with regulatory requirements</w:t>
      </w:r>
      <w:bookmarkEnd w:id="6"/>
    </w:p>
    <w:p w14:paraId="20B6D7E2" w14:textId="2703B2A8" w:rsidR="00C304CE" w:rsidRDefault="001D4EFD" w:rsidP="00C051CD">
      <w:pPr>
        <w:spacing w:after="160"/>
        <w:rPr>
          <w:rFonts w:cstheme="minorHAnsi"/>
          <w:lang w:val="en-US"/>
        </w:rPr>
      </w:pPr>
      <w:r>
        <w:rPr>
          <w:rFonts w:cstheme="minorHAnsi"/>
          <w:lang w:val="en-US"/>
        </w:rPr>
        <w:t>The ODC</w:t>
      </w:r>
      <w:r w:rsidR="00C051CD" w:rsidRPr="00C051CD">
        <w:rPr>
          <w:rFonts w:cstheme="minorHAnsi"/>
          <w:lang w:val="en-US"/>
        </w:rPr>
        <w:t xml:space="preserve"> take</w:t>
      </w:r>
      <w:r>
        <w:rPr>
          <w:rFonts w:cstheme="minorHAnsi"/>
          <w:lang w:val="en-US"/>
        </w:rPr>
        <w:t>s</w:t>
      </w:r>
      <w:r w:rsidR="00C051CD" w:rsidRPr="00C051CD">
        <w:rPr>
          <w:rFonts w:cstheme="minorHAnsi"/>
          <w:lang w:val="en-US"/>
        </w:rPr>
        <w:t xml:space="preserve"> a risk-based approach to regulation and compliance</w:t>
      </w:r>
      <w:r w:rsidR="00C304CE">
        <w:rPr>
          <w:rFonts w:cstheme="minorHAnsi"/>
          <w:lang w:val="en-US"/>
        </w:rPr>
        <w:t>,</w:t>
      </w:r>
      <w:r w:rsidR="00C051CD" w:rsidRPr="00C051CD">
        <w:rPr>
          <w:rFonts w:cstheme="minorHAnsi"/>
          <w:lang w:val="en-US"/>
        </w:rPr>
        <w:t xml:space="preserve"> </w:t>
      </w:r>
      <w:r w:rsidR="00C304CE">
        <w:rPr>
          <w:rFonts w:cstheme="minorHAnsi"/>
          <w:lang w:val="en-US"/>
        </w:rPr>
        <w:t xml:space="preserve">allocating </w:t>
      </w:r>
      <w:r w:rsidR="00C051CD" w:rsidRPr="00C051CD">
        <w:rPr>
          <w:rFonts w:cstheme="minorHAnsi"/>
          <w:lang w:val="en-US"/>
        </w:rPr>
        <w:t xml:space="preserve">resources to areas </w:t>
      </w:r>
      <w:r w:rsidR="00C304CE">
        <w:rPr>
          <w:rFonts w:cstheme="minorHAnsi"/>
          <w:lang w:val="en-US"/>
        </w:rPr>
        <w:t>with higher</w:t>
      </w:r>
      <w:r w:rsidR="00C051CD" w:rsidRPr="00C051CD">
        <w:rPr>
          <w:rFonts w:cstheme="minorHAnsi"/>
          <w:lang w:val="en-US"/>
        </w:rPr>
        <w:t xml:space="preserve"> risk or concern </w:t>
      </w:r>
      <w:r w:rsidR="00D925A1">
        <w:rPr>
          <w:rFonts w:cstheme="minorHAnsi"/>
          <w:lang w:val="en-US"/>
        </w:rPr>
        <w:t>to</w:t>
      </w:r>
      <w:r w:rsidR="00C051CD" w:rsidRPr="00C051CD">
        <w:rPr>
          <w:rFonts w:cstheme="minorHAnsi"/>
          <w:lang w:val="en-US"/>
        </w:rPr>
        <w:t xml:space="preserve"> </w:t>
      </w:r>
      <w:r w:rsidR="00C304CE">
        <w:rPr>
          <w:rFonts w:cstheme="minorHAnsi"/>
          <w:lang w:val="en-US"/>
        </w:rPr>
        <w:t>strengthen</w:t>
      </w:r>
      <w:r w:rsidR="00C304CE" w:rsidRPr="00C051CD">
        <w:rPr>
          <w:rFonts w:cstheme="minorHAnsi"/>
          <w:lang w:val="en-US"/>
        </w:rPr>
        <w:t xml:space="preserve"> </w:t>
      </w:r>
      <w:r w:rsidR="00C051CD" w:rsidRPr="00C051CD">
        <w:rPr>
          <w:rFonts w:cstheme="minorHAnsi"/>
          <w:lang w:val="en-US"/>
        </w:rPr>
        <w:t xml:space="preserve">community confidence in the regulation of controlled drugs.  Data collected </w:t>
      </w:r>
      <w:r w:rsidR="00C304CE">
        <w:rPr>
          <w:rFonts w:cstheme="minorHAnsi"/>
          <w:lang w:val="en-US"/>
        </w:rPr>
        <w:t>through</w:t>
      </w:r>
      <w:r w:rsidR="00C304CE" w:rsidRPr="00C051CD">
        <w:rPr>
          <w:rFonts w:cstheme="minorHAnsi"/>
          <w:lang w:val="en-US"/>
        </w:rPr>
        <w:t xml:space="preserve"> </w:t>
      </w:r>
      <w:r w:rsidR="00C051CD" w:rsidRPr="00C051CD">
        <w:rPr>
          <w:rFonts w:cstheme="minorHAnsi"/>
          <w:lang w:val="en-US"/>
        </w:rPr>
        <w:t xml:space="preserve">monitoring activities </w:t>
      </w:r>
      <w:r w:rsidR="00C304CE">
        <w:rPr>
          <w:rFonts w:cstheme="minorHAnsi"/>
          <w:lang w:val="en-US"/>
        </w:rPr>
        <w:t>is</w:t>
      </w:r>
      <w:r w:rsidR="00C051CD" w:rsidRPr="00C051CD">
        <w:rPr>
          <w:rFonts w:cstheme="minorHAnsi"/>
          <w:lang w:val="en-US"/>
        </w:rPr>
        <w:t xml:space="preserve"> used to identify non-compliance </w:t>
      </w:r>
      <w:r w:rsidR="00C304CE">
        <w:rPr>
          <w:rFonts w:cstheme="minorHAnsi"/>
          <w:lang w:val="en-US"/>
        </w:rPr>
        <w:t xml:space="preserve">trends </w:t>
      </w:r>
      <w:r w:rsidR="00C051CD" w:rsidRPr="00C051CD">
        <w:rPr>
          <w:rFonts w:cstheme="minorHAnsi"/>
          <w:lang w:val="en-US"/>
        </w:rPr>
        <w:t xml:space="preserve">and </w:t>
      </w:r>
      <w:r w:rsidR="00C304CE">
        <w:rPr>
          <w:rFonts w:cstheme="minorHAnsi"/>
          <w:lang w:val="en-US"/>
        </w:rPr>
        <w:t>guide</w:t>
      </w:r>
      <w:r w:rsidR="00C304CE" w:rsidRPr="00C051CD">
        <w:rPr>
          <w:rFonts w:cstheme="minorHAnsi"/>
          <w:lang w:val="en-US"/>
        </w:rPr>
        <w:t xml:space="preserve"> </w:t>
      </w:r>
      <w:r w:rsidR="00C051CD" w:rsidRPr="00C051CD">
        <w:rPr>
          <w:rFonts w:cstheme="minorHAnsi"/>
          <w:lang w:val="en-US"/>
        </w:rPr>
        <w:t>compliance priorities and education</w:t>
      </w:r>
      <w:r w:rsidR="00C304CE">
        <w:rPr>
          <w:rFonts w:cstheme="minorHAnsi"/>
          <w:lang w:val="en-US"/>
        </w:rPr>
        <w:t>al</w:t>
      </w:r>
      <w:r w:rsidR="00C051CD" w:rsidRPr="00C051CD">
        <w:rPr>
          <w:rFonts w:cstheme="minorHAnsi"/>
          <w:lang w:val="en-US"/>
        </w:rPr>
        <w:t xml:space="preserve"> activities. In doing this</w:t>
      </w:r>
      <w:r w:rsidR="00C1743F">
        <w:rPr>
          <w:rFonts w:cstheme="minorHAnsi"/>
          <w:lang w:val="en-US"/>
        </w:rPr>
        <w:t>,</w:t>
      </w:r>
      <w:r w:rsidR="00C051CD" w:rsidRPr="00C051CD">
        <w:rPr>
          <w:rFonts w:cstheme="minorHAnsi"/>
          <w:lang w:val="en-US"/>
        </w:rPr>
        <w:t xml:space="preserve"> </w:t>
      </w:r>
      <w:r w:rsidR="00C304CE">
        <w:rPr>
          <w:rFonts w:cstheme="minorHAnsi"/>
          <w:lang w:val="en-US"/>
        </w:rPr>
        <w:t xml:space="preserve">risks are </w:t>
      </w:r>
      <w:r w:rsidR="00C051CD" w:rsidRPr="00C051CD">
        <w:rPr>
          <w:rFonts w:cstheme="minorHAnsi"/>
          <w:lang w:val="en-US"/>
        </w:rPr>
        <w:t>manage</w:t>
      </w:r>
      <w:r w:rsidR="00C304CE">
        <w:rPr>
          <w:rFonts w:cstheme="minorHAnsi"/>
          <w:lang w:val="en-US"/>
        </w:rPr>
        <w:t>d</w:t>
      </w:r>
      <w:r w:rsidR="00C051CD" w:rsidRPr="00C051CD">
        <w:rPr>
          <w:rFonts w:cstheme="minorHAnsi"/>
          <w:lang w:val="en-US"/>
        </w:rPr>
        <w:t xml:space="preserve"> </w:t>
      </w:r>
      <w:r w:rsidR="00C304CE">
        <w:rPr>
          <w:rFonts w:cstheme="minorHAnsi"/>
          <w:lang w:val="en-US"/>
        </w:rPr>
        <w:t xml:space="preserve">in a </w:t>
      </w:r>
      <w:r w:rsidR="00C051CD" w:rsidRPr="00C051CD">
        <w:rPr>
          <w:rFonts w:cstheme="minorHAnsi"/>
          <w:lang w:val="en-US"/>
        </w:rPr>
        <w:t>proportionate</w:t>
      </w:r>
      <w:r w:rsidR="00C304CE">
        <w:rPr>
          <w:rFonts w:cstheme="minorHAnsi"/>
          <w:lang w:val="en-US"/>
        </w:rPr>
        <w:t xml:space="preserve"> manner</w:t>
      </w:r>
      <w:r w:rsidR="00736955">
        <w:rPr>
          <w:rFonts w:cstheme="minorHAnsi"/>
          <w:lang w:val="en-US"/>
        </w:rPr>
        <w:t xml:space="preserve">. </w:t>
      </w:r>
    </w:p>
    <w:p w14:paraId="77EF332B" w14:textId="557E970A" w:rsidR="00C051CD" w:rsidRPr="00C051CD" w:rsidRDefault="00C304CE" w:rsidP="00C051CD">
      <w:pPr>
        <w:spacing w:after="160"/>
        <w:rPr>
          <w:rFonts w:cstheme="minorHAnsi"/>
        </w:rPr>
      </w:pPr>
      <w:r>
        <w:rPr>
          <w:rFonts w:cstheme="minorHAnsi"/>
          <w:lang w:val="en-US"/>
        </w:rPr>
        <w:t>C</w:t>
      </w:r>
      <w:r w:rsidR="00736955">
        <w:rPr>
          <w:rFonts w:cstheme="minorHAnsi"/>
          <w:lang w:val="en-US"/>
        </w:rPr>
        <w:t xml:space="preserve">ompliance with regulatory requirements will be </w:t>
      </w:r>
      <w:r>
        <w:rPr>
          <w:rFonts w:cstheme="minorHAnsi"/>
          <w:lang w:val="en-US"/>
        </w:rPr>
        <w:t>promoted by</w:t>
      </w:r>
      <w:r w:rsidR="00736955">
        <w:rPr>
          <w:rFonts w:cstheme="minorHAnsi"/>
          <w:lang w:val="en-US"/>
        </w:rPr>
        <w:t>:</w:t>
      </w:r>
      <w:r w:rsidR="00C051CD" w:rsidRPr="00C051CD">
        <w:rPr>
          <w:rFonts w:cstheme="minorHAnsi"/>
        </w:rPr>
        <w:t> </w:t>
      </w:r>
    </w:p>
    <w:p w14:paraId="5CF0F5C5" w14:textId="01B98772" w:rsidR="00D02C97" w:rsidRDefault="00C051CD" w:rsidP="00C45B2F">
      <w:pPr>
        <w:pStyle w:val="ListBullet"/>
      </w:pPr>
      <w:r w:rsidRPr="00C051CD">
        <w:rPr>
          <w:noProof/>
        </w:rPr>
        <w:drawing>
          <wp:inline distT="0" distB="0" distL="0" distR="0" wp14:anchorId="5F218E45" wp14:editId="255BE82D">
            <wp:extent cx="6985" cy="6985"/>
            <wp:effectExtent l="0" t="0" r="0" b="0"/>
            <wp:docPr id="1464207419"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A47C7D">
        <w:t>i</w:t>
      </w:r>
      <w:r w:rsidRPr="00A0245B">
        <w:t>mplement</w:t>
      </w:r>
      <w:r w:rsidR="00736955">
        <w:t>ing</w:t>
      </w:r>
      <w:r w:rsidRPr="00A0245B">
        <w:t xml:space="preserve"> the </w:t>
      </w:r>
      <w:r w:rsidR="007159AC">
        <w:t xml:space="preserve">ODC </w:t>
      </w:r>
      <w:r w:rsidRPr="00A0245B">
        <w:t xml:space="preserve">Compliance </w:t>
      </w:r>
      <w:r w:rsidR="007159AC">
        <w:t xml:space="preserve">and </w:t>
      </w:r>
      <w:r w:rsidRPr="00A0245B">
        <w:t xml:space="preserve">Enforcement </w:t>
      </w:r>
      <w:r w:rsidR="007159AC">
        <w:t>Framework</w:t>
      </w:r>
      <w:r w:rsidRPr="00A0245B">
        <w:t xml:space="preserve"> </w:t>
      </w:r>
      <w:r w:rsidR="00D02C97" w:rsidRPr="00A0245B">
        <w:t>2025-2</w:t>
      </w:r>
      <w:r w:rsidR="007159AC">
        <w:t>02</w:t>
      </w:r>
      <w:r w:rsidR="00D02C97" w:rsidRPr="00A0245B">
        <w:t>8</w:t>
      </w:r>
      <w:r w:rsidR="00781F28">
        <w:t xml:space="preserve"> </w:t>
      </w:r>
    </w:p>
    <w:p w14:paraId="4C55319B" w14:textId="6C2738BC" w:rsidR="00932986" w:rsidRPr="00BB051A" w:rsidRDefault="003854B0" w:rsidP="00C45B2F">
      <w:pPr>
        <w:pStyle w:val="ListBullet"/>
      </w:pPr>
      <w:r>
        <w:t>meeting</w:t>
      </w:r>
      <w:r w:rsidR="00AE6C49">
        <w:t xml:space="preserve"> </w:t>
      </w:r>
      <w:r w:rsidR="004047B1">
        <w:t>our compliance goals</w:t>
      </w:r>
      <w:r w:rsidR="00AE6C49">
        <w:t xml:space="preserve"> specified in the Portfolio Budget Statement for narcotic drugs licence and permit holders and ensure that an outcome report is issued within</w:t>
      </w:r>
      <w:r w:rsidR="007159AC">
        <w:t xml:space="preserve"> </w:t>
      </w:r>
      <w:r w:rsidR="00AE6C49">
        <w:t>2 months of each inspection.</w:t>
      </w:r>
    </w:p>
    <w:p w14:paraId="41C3EB47" w14:textId="77777777" w:rsidR="007B5CAA" w:rsidRDefault="00D37A37" w:rsidP="00E06D65">
      <w:pPr>
        <w:spacing w:line="240" w:lineRule="auto"/>
        <w:rPr>
          <w:rFonts w:cstheme="minorHAnsi"/>
        </w:rPr>
      </w:pPr>
      <w:r w:rsidRPr="00F57987">
        <w:rPr>
          <w:rFonts w:cstheme="minorHAnsi"/>
        </w:rPr>
        <w:t xml:space="preserve">The Framework is consistent with, and provides further detail on key aspects of, the ODC publication </w:t>
      </w:r>
      <w:hyperlink r:id="rId15" w:history="1">
        <w:r w:rsidR="00B15A2F">
          <w:rPr>
            <w:rStyle w:val="Hyperlink"/>
            <w:rFonts w:cstheme="minorHAnsi"/>
            <w:i/>
            <w:iCs/>
          </w:rPr>
          <w:t>Risk management approach to the cultivation, production and manufacture of medicinal cannabis</w:t>
        </w:r>
      </w:hyperlink>
      <w:r w:rsidRPr="00F57987">
        <w:rPr>
          <w:rFonts w:cstheme="minorHAnsi"/>
        </w:rPr>
        <w:t xml:space="preserve">, available at </w:t>
      </w:r>
      <w:hyperlink r:id="rId16" w:history="1">
        <w:r w:rsidRPr="00F57987">
          <w:rPr>
            <w:rStyle w:val="Hyperlink"/>
            <w:rFonts w:cstheme="minorHAnsi"/>
          </w:rPr>
          <w:t>www.odc.gov.au</w:t>
        </w:r>
      </w:hyperlink>
      <w:r w:rsidRPr="00F57987">
        <w:rPr>
          <w:rFonts w:cstheme="minorHAnsi"/>
        </w:rPr>
        <w:t xml:space="preserve">. </w:t>
      </w:r>
      <w:bookmarkStart w:id="7" w:name="_Toc111825246"/>
    </w:p>
    <w:bookmarkStart w:id="8" w:name="_Toc218493498"/>
    <w:p w14:paraId="636D1BB6" w14:textId="5C755AD1" w:rsidR="00D37A37" w:rsidRPr="00F57987" w:rsidRDefault="00825462" w:rsidP="00C45B2F">
      <w:pPr>
        <w:pStyle w:val="Heading2"/>
      </w:pPr>
      <w:r>
        <w:rPr>
          <w:noProof/>
        </w:rPr>
        <mc:AlternateContent>
          <mc:Choice Requires="wpi">
            <w:drawing>
              <wp:anchor distT="0" distB="0" distL="114300" distR="114300" simplePos="0" relativeHeight="251661312" behindDoc="0" locked="0" layoutInCell="1" allowOverlap="1" wp14:anchorId="5E247587" wp14:editId="233B7022">
                <wp:simplePos x="0" y="0"/>
                <wp:positionH relativeFrom="column">
                  <wp:posOffset>4868805</wp:posOffset>
                </wp:positionH>
                <wp:positionV relativeFrom="paragraph">
                  <wp:posOffset>4642410</wp:posOffset>
                </wp:positionV>
                <wp:extent cx="7560" cy="10440"/>
                <wp:effectExtent l="38100" t="38100" r="50165" b="46990"/>
                <wp:wrapNone/>
                <wp:docPr id="4"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7560" cy="10440"/>
                      </w14:xfrm>
                    </w14:contentPart>
                  </a:graphicData>
                </a:graphic>
              </wp:anchor>
            </w:drawing>
          </mc:Choice>
          <mc:Fallback>
            <w:pict>
              <v:shapetype w14:anchorId="18D52F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82.6pt;margin-top:364.85pt;width:2.1pt;height: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&#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">
                <v:imagedata r:id="rId23" o:title=""/>
              </v:shape>
            </w:pict>
          </mc:Fallback>
        </mc:AlternateContent>
      </w:r>
      <w:r w:rsidR="00D37A37" w:rsidRPr="00F57987">
        <w:t>2. Legislative requirements</w:t>
      </w:r>
      <w:bookmarkEnd w:id="7"/>
      <w:bookmarkEnd w:id="8"/>
    </w:p>
    <w:p w14:paraId="400C4336" w14:textId="30268876" w:rsidR="00262EDC" w:rsidRDefault="00A14568" w:rsidP="00D37A37">
      <w:pPr>
        <w:rPr>
          <w:rFonts w:cstheme="minorHAnsi"/>
        </w:rPr>
      </w:pPr>
      <w:r w:rsidRPr="00DE7790">
        <w:rPr>
          <w:rFonts w:cstheme="minorHAnsi"/>
        </w:rPr>
        <w:t xml:space="preserve">Regulated </w:t>
      </w:r>
      <w:r w:rsidR="005426F2" w:rsidRPr="00DE7790">
        <w:rPr>
          <w:rFonts w:cstheme="minorHAnsi"/>
        </w:rPr>
        <w:t>persons</w:t>
      </w:r>
      <w:r w:rsidRPr="00DE7790">
        <w:rPr>
          <w:rFonts w:cstheme="minorHAnsi"/>
        </w:rPr>
        <w:t xml:space="preserve"> are responsible for understanding their obligations for </w:t>
      </w:r>
      <w:r w:rsidR="009B2B99">
        <w:rPr>
          <w:rFonts w:cstheme="minorHAnsi"/>
        </w:rPr>
        <w:t xml:space="preserve">import, export, </w:t>
      </w:r>
      <w:r w:rsidRPr="00DE7790">
        <w:rPr>
          <w:rFonts w:cstheme="minorHAnsi"/>
        </w:rPr>
        <w:t xml:space="preserve">cultivation, production and the manufacture of </w:t>
      </w:r>
      <w:r w:rsidR="00262EDC">
        <w:rPr>
          <w:rFonts w:cstheme="minorHAnsi"/>
        </w:rPr>
        <w:t>n</w:t>
      </w:r>
      <w:r w:rsidRPr="00DE7790">
        <w:rPr>
          <w:rFonts w:cstheme="minorHAnsi"/>
        </w:rPr>
        <w:t xml:space="preserve">arcotic </w:t>
      </w:r>
      <w:r w:rsidR="00262EDC">
        <w:rPr>
          <w:rFonts w:cstheme="minorHAnsi"/>
        </w:rPr>
        <w:t>d</w:t>
      </w:r>
      <w:r w:rsidRPr="00DE7790">
        <w:rPr>
          <w:rFonts w:cstheme="minorHAnsi"/>
        </w:rPr>
        <w:t xml:space="preserve">rugs. </w:t>
      </w:r>
    </w:p>
    <w:p w14:paraId="6BCD0283" w14:textId="1F0596BD" w:rsidR="00D37A37" w:rsidRPr="00F57987" w:rsidRDefault="00D37A37" w:rsidP="00D37A37">
      <w:pPr>
        <w:rPr>
          <w:rFonts w:cstheme="minorHAnsi"/>
          <w:b/>
          <w:bCs/>
          <w:color w:val="202124"/>
          <w:shd w:val="clear" w:color="auto" w:fill="FFFFFF"/>
        </w:rPr>
      </w:pPr>
      <w:r w:rsidRPr="00F57987" w:rsidDel="00EA6CE1">
        <w:rPr>
          <w:rFonts w:cstheme="minorHAnsi"/>
        </w:rPr>
        <w:t xml:space="preserve">The </w:t>
      </w:r>
      <w:hyperlink r:id="rId24" w:history="1">
        <w:r w:rsidR="00116FC6">
          <w:rPr>
            <w:rStyle w:val="Hyperlink"/>
            <w:rFonts w:cstheme="minorHAnsi"/>
            <w:i/>
            <w:iCs/>
          </w:rPr>
          <w:t>Narcotic Drugs Act 1967</w:t>
        </w:r>
      </w:hyperlink>
      <w:r w:rsidR="00116FC6" w:rsidRPr="00FC6B33">
        <w:rPr>
          <w:rFonts w:cstheme="minorHAnsi"/>
          <w:i/>
          <w:iCs/>
          <w:color w:val="222222"/>
        </w:rPr>
        <w:t xml:space="preserve"> </w:t>
      </w:r>
      <w:r w:rsidRPr="00F57987">
        <w:rPr>
          <w:rFonts w:cstheme="minorHAnsi"/>
        </w:rPr>
        <w:t xml:space="preserve">gives effect to Australia’s obligations under the </w:t>
      </w:r>
      <w:hyperlink r:id="rId25" w:history="1">
        <w:r w:rsidRPr="00F57987">
          <w:rPr>
            <w:rStyle w:val="Hyperlink"/>
            <w:rFonts w:cstheme="minorHAnsi"/>
            <w:i/>
            <w:iCs/>
          </w:rPr>
          <w:t>Single Convention on Narcotic Drugs of 1961</w:t>
        </w:r>
      </w:hyperlink>
      <w:r w:rsidRPr="00F57987">
        <w:rPr>
          <w:rFonts w:cstheme="minorHAnsi"/>
        </w:rPr>
        <w:t xml:space="preserve"> (as amended by the 1972 Protocol) </w:t>
      </w:r>
      <w:r w:rsidR="00905266" w:rsidRPr="00F57987">
        <w:rPr>
          <w:rFonts w:cstheme="minorHAnsi"/>
        </w:rPr>
        <w:t>(</w:t>
      </w:r>
      <w:r w:rsidR="00905266" w:rsidRPr="003E5F27">
        <w:rPr>
          <w:rFonts w:cstheme="minorHAnsi"/>
          <w:b/>
          <w:bCs/>
        </w:rPr>
        <w:t>Single Convention</w:t>
      </w:r>
      <w:r w:rsidR="00905266" w:rsidRPr="00F57987">
        <w:rPr>
          <w:rFonts w:cstheme="minorHAnsi"/>
        </w:rPr>
        <w:t>)</w:t>
      </w:r>
      <w:r w:rsidR="00905266">
        <w:rPr>
          <w:rFonts w:cstheme="minorHAnsi"/>
        </w:rPr>
        <w:t xml:space="preserve"> </w:t>
      </w:r>
      <w:r w:rsidRPr="00F57987">
        <w:rPr>
          <w:rFonts w:cstheme="minorHAnsi"/>
        </w:rPr>
        <w:t xml:space="preserve">and provides </w:t>
      </w:r>
      <w:r w:rsidRPr="00F57987">
        <w:rPr>
          <w:rFonts w:cstheme="minorHAnsi"/>
          <w:color w:val="202124"/>
          <w:shd w:val="clear" w:color="auto" w:fill="FFFFFF"/>
        </w:rPr>
        <w:t>a regulatory framework for:</w:t>
      </w:r>
    </w:p>
    <w:p w14:paraId="32E63CEC" w14:textId="76E28AA7" w:rsidR="00D37A37" w:rsidRPr="0065455E" w:rsidRDefault="00D37A37" w:rsidP="00C45B2F">
      <w:pPr>
        <w:pStyle w:val="ListBullet"/>
      </w:pPr>
      <w:r w:rsidRPr="0065455E">
        <w:t>the cultivation of cannabis plants, the production of cannabis and cannabis resin, the manufacture of cannabis drugs, and related activities</w:t>
      </w:r>
    </w:p>
    <w:p w14:paraId="12D0BE0F" w14:textId="204FC884" w:rsidR="00A8452D" w:rsidRPr="00BB051A" w:rsidRDefault="00D37A37" w:rsidP="00C45B2F">
      <w:pPr>
        <w:pStyle w:val="ListBullet"/>
      </w:pPr>
      <w:r w:rsidRPr="0065455E">
        <w:t>the manufacture of other</w:t>
      </w:r>
      <w:r w:rsidR="00CD5EF9" w:rsidRPr="0065455E">
        <w:t xml:space="preserve"> narcotic</w:t>
      </w:r>
      <w:r w:rsidRPr="0065455E">
        <w:t xml:space="preserve"> drugs as covered by </w:t>
      </w:r>
      <w:hyperlink r:id="rId26" w:history="1">
        <w:r w:rsidRPr="0065455E">
          <w:t xml:space="preserve">the </w:t>
        </w:r>
        <w:r w:rsidR="00291564">
          <w:t xml:space="preserve">Single </w:t>
        </w:r>
        <w:r w:rsidRPr="0065455E">
          <w:t>Convention</w:t>
        </w:r>
      </w:hyperlink>
      <w:r w:rsidR="00BB051A">
        <w:t>.</w:t>
      </w:r>
      <w:r w:rsidRPr="0065455E">
        <w:t xml:space="preserve"> </w:t>
      </w:r>
    </w:p>
    <w:p w14:paraId="2C44C951" w14:textId="0D638575" w:rsidR="00D24E7B" w:rsidRPr="00A8452D" w:rsidRDefault="00D24E7B" w:rsidP="00A8452D">
      <w:pPr>
        <w:rPr>
          <w:rFonts w:cstheme="minorHAnsi"/>
          <w:b/>
          <w:bCs/>
          <w:color w:val="202124"/>
          <w:shd w:val="clear" w:color="auto" w:fill="FFFFFF"/>
        </w:rPr>
      </w:pPr>
      <w:r w:rsidRPr="00A8452D">
        <w:rPr>
          <w:rFonts w:cstheme="minorHAnsi"/>
          <w:color w:val="202124"/>
          <w:shd w:val="clear" w:color="auto" w:fill="FFFFFF"/>
        </w:rPr>
        <w:t xml:space="preserve">The </w:t>
      </w:r>
      <w:hyperlink r:id="rId27" w:history="1">
        <w:r w:rsidRPr="00A8452D">
          <w:rPr>
            <w:rStyle w:val="Hyperlink"/>
            <w:rFonts w:cstheme="minorHAnsi"/>
            <w:i/>
            <w:iCs/>
            <w:shd w:val="clear" w:color="auto" w:fill="FFFFFF"/>
          </w:rPr>
          <w:t>Customs Act 1901</w:t>
        </w:r>
      </w:hyperlink>
      <w:r w:rsidRPr="00A8452D">
        <w:rPr>
          <w:rFonts w:cstheme="minorHAnsi"/>
          <w:color w:val="202124"/>
          <w:shd w:val="clear" w:color="auto" w:fill="FFFFFF"/>
        </w:rPr>
        <w:t xml:space="preserve"> (</w:t>
      </w:r>
      <w:r w:rsidRPr="002719FF">
        <w:rPr>
          <w:rFonts w:cstheme="minorHAnsi"/>
          <w:b/>
          <w:bCs/>
          <w:color w:val="202124"/>
          <w:shd w:val="clear" w:color="auto" w:fill="FFFFFF"/>
        </w:rPr>
        <w:t>Customs Act</w:t>
      </w:r>
      <w:r w:rsidRPr="00A8452D">
        <w:rPr>
          <w:rFonts w:cstheme="minorHAnsi"/>
          <w:color w:val="202124"/>
          <w:shd w:val="clear" w:color="auto" w:fill="FFFFFF"/>
        </w:rPr>
        <w:t>)</w:t>
      </w:r>
      <w:r w:rsidR="00A8452D" w:rsidRPr="00A8452D">
        <w:rPr>
          <w:rFonts w:cstheme="minorHAnsi"/>
          <w:color w:val="202124"/>
          <w:shd w:val="clear" w:color="auto" w:fill="FFFFFF"/>
        </w:rPr>
        <w:t xml:space="preserve"> is the legislative authority that sets out the customs requirements for the importation and exportation of goods to and from Australia. The </w:t>
      </w:r>
      <w:hyperlink r:id="rId28" w:history="1">
        <w:r w:rsidR="00A8452D" w:rsidRPr="00A8452D">
          <w:rPr>
            <w:rStyle w:val="Hyperlink"/>
            <w:rFonts w:cstheme="minorHAnsi"/>
            <w:i/>
            <w:iCs/>
            <w:shd w:val="clear" w:color="auto" w:fill="FFFFFF"/>
          </w:rPr>
          <w:t>Customs (Prohibited Imports) Regulations 1956</w:t>
        </w:r>
      </w:hyperlink>
      <w:r w:rsidR="00A8452D" w:rsidRPr="00A8452D">
        <w:rPr>
          <w:rFonts w:cstheme="minorHAnsi"/>
          <w:color w:val="202124"/>
          <w:shd w:val="clear" w:color="auto" w:fill="FFFFFF"/>
        </w:rPr>
        <w:t xml:space="preserve"> and </w:t>
      </w:r>
      <w:hyperlink r:id="rId29" w:history="1">
        <w:r w:rsidR="00A8452D" w:rsidRPr="00A8452D">
          <w:rPr>
            <w:rStyle w:val="Hyperlink"/>
            <w:rFonts w:cstheme="minorHAnsi"/>
            <w:i/>
            <w:iCs/>
            <w:shd w:val="clear" w:color="auto" w:fill="FFFFFF"/>
          </w:rPr>
          <w:t>Customs (Prohibited Exports) Regulations 1958</w:t>
        </w:r>
      </w:hyperlink>
      <w:r w:rsidR="00A8452D" w:rsidRPr="00A8452D">
        <w:rPr>
          <w:rFonts w:cstheme="minorHAnsi"/>
          <w:color w:val="202124"/>
          <w:shd w:val="clear" w:color="auto" w:fill="FFFFFF"/>
        </w:rPr>
        <w:t xml:space="preserve"> further </w:t>
      </w:r>
      <w:r w:rsidR="009C4217">
        <w:rPr>
          <w:rFonts w:cstheme="minorHAnsi"/>
          <w:color w:val="202124"/>
          <w:shd w:val="clear" w:color="auto" w:fill="FFFFFF"/>
        </w:rPr>
        <w:t>outline</w:t>
      </w:r>
      <w:r w:rsidR="00A8452D" w:rsidRPr="00A8452D">
        <w:rPr>
          <w:rFonts w:cstheme="minorHAnsi"/>
          <w:color w:val="202124"/>
          <w:shd w:val="clear" w:color="auto" w:fill="FFFFFF"/>
        </w:rPr>
        <w:t xml:space="preserve"> requirements and restrictions.</w:t>
      </w:r>
    </w:p>
    <w:p w14:paraId="1829F4EB" w14:textId="77777777" w:rsidR="00D37A37" w:rsidRPr="00F57987" w:rsidRDefault="00D37A37" w:rsidP="00D37A37">
      <w:pPr>
        <w:rPr>
          <w:rFonts w:cstheme="minorHAnsi"/>
        </w:rPr>
      </w:pPr>
      <w:r w:rsidRPr="00F57987" w:rsidDel="00EA6CE1">
        <w:rPr>
          <w:rFonts w:cstheme="minorHAnsi"/>
        </w:rPr>
        <w:lastRenderedPageBreak/>
        <w:t xml:space="preserve">Additional </w:t>
      </w:r>
      <w:r w:rsidRPr="00F57987">
        <w:rPr>
          <w:rFonts w:cstheme="minorHAnsi"/>
        </w:rPr>
        <w:t>legislative requirements</w:t>
      </w:r>
      <w:r w:rsidRPr="00F57987" w:rsidDel="00EA6CE1">
        <w:rPr>
          <w:rFonts w:cstheme="minorHAnsi"/>
        </w:rPr>
        <w:t xml:space="preserve"> also apply as set out in:</w:t>
      </w:r>
    </w:p>
    <w:p w14:paraId="1CA5A09B" w14:textId="3E41DB7C" w:rsidR="00D37A37" w:rsidRPr="00AA6879" w:rsidRDefault="00D37A37" w:rsidP="00C45B2F">
      <w:pPr>
        <w:pStyle w:val="ListBullet"/>
        <w:rPr>
          <w:rFonts w:cstheme="minorHAnsi"/>
          <w:b/>
          <w:bCs/>
          <w:i/>
          <w:iCs/>
        </w:rPr>
      </w:pPr>
      <w:hyperlink r:id="rId30" w:history="1">
        <w:r w:rsidRPr="00AA6879">
          <w:rPr>
            <w:rStyle w:val="Hyperlink"/>
            <w:rFonts w:cstheme="minorHAnsi"/>
            <w:i/>
            <w:iCs/>
          </w:rPr>
          <w:t>Narcotic Drugs Regulation 2016</w:t>
        </w:r>
      </w:hyperlink>
      <w:r w:rsidR="00291564">
        <w:rPr>
          <w:rFonts w:cstheme="minorHAnsi"/>
        </w:rPr>
        <w:t xml:space="preserve"> </w:t>
      </w:r>
      <w:r w:rsidR="00925776">
        <w:rPr>
          <w:rFonts w:cstheme="minorHAnsi"/>
        </w:rPr>
        <w:t>(</w:t>
      </w:r>
      <w:r w:rsidR="00F452D0" w:rsidRPr="002719FF">
        <w:rPr>
          <w:rFonts w:cstheme="minorHAnsi"/>
          <w:b/>
          <w:bCs/>
        </w:rPr>
        <w:t xml:space="preserve">Narcotic Drugs </w:t>
      </w:r>
      <w:r w:rsidR="00925776" w:rsidRPr="002719FF">
        <w:rPr>
          <w:rFonts w:cstheme="minorHAnsi"/>
          <w:b/>
          <w:bCs/>
        </w:rPr>
        <w:t>Regulation</w:t>
      </w:r>
      <w:r w:rsidR="00925776">
        <w:rPr>
          <w:rFonts w:cstheme="minorHAnsi"/>
        </w:rPr>
        <w:t>)</w:t>
      </w:r>
    </w:p>
    <w:p w14:paraId="190F2DDB" w14:textId="1E47F6DD" w:rsidR="00D37A37" w:rsidRPr="001F37C6" w:rsidRDefault="001F37C6" w:rsidP="00C45B2F">
      <w:pPr>
        <w:pStyle w:val="ListBullet"/>
        <w:rPr>
          <w:rFonts w:cstheme="minorHAnsi"/>
          <w:b/>
          <w:bCs/>
          <w:shd w:val="clear" w:color="auto" w:fill="FFFFFF"/>
        </w:rPr>
      </w:pPr>
      <w:r>
        <w:rPr>
          <w:rFonts w:cstheme="minorHAnsi"/>
          <w:shd w:val="clear" w:color="auto" w:fill="FFFFFF"/>
        </w:rPr>
        <w:t>A</w:t>
      </w:r>
      <w:r w:rsidR="00D37A37" w:rsidRPr="00F57987">
        <w:rPr>
          <w:rFonts w:cstheme="minorHAnsi"/>
          <w:shd w:val="clear" w:color="auto" w:fill="FFFFFF"/>
        </w:rPr>
        <w:t xml:space="preserve">n instrument made under </w:t>
      </w:r>
      <w:r w:rsidR="00D37A37" w:rsidRPr="00FC6B33">
        <w:rPr>
          <w:rFonts w:cstheme="minorHAnsi"/>
          <w:shd w:val="clear" w:color="auto" w:fill="FFFFFF"/>
        </w:rPr>
        <w:t xml:space="preserve">the </w:t>
      </w:r>
      <w:r w:rsidRPr="00FC6B33">
        <w:rPr>
          <w:rFonts w:cstheme="minorHAnsi"/>
          <w:shd w:val="clear" w:color="auto" w:fill="FFFFFF"/>
        </w:rPr>
        <w:t xml:space="preserve">Narcotic Drugs </w:t>
      </w:r>
      <w:r w:rsidR="00D37A37" w:rsidRPr="00FC6B33">
        <w:rPr>
          <w:rFonts w:cstheme="minorHAnsi"/>
          <w:shd w:val="clear" w:color="auto" w:fill="FFFFFF"/>
        </w:rPr>
        <w:t>Act</w:t>
      </w:r>
      <w:r w:rsidR="00D37A37" w:rsidRPr="001F37C6">
        <w:rPr>
          <w:rFonts w:cstheme="minorHAnsi"/>
          <w:shd w:val="clear" w:color="auto" w:fill="FFFFFF"/>
        </w:rPr>
        <w:t xml:space="preserve"> </w:t>
      </w:r>
      <w:r w:rsidR="00291564" w:rsidRPr="001F37C6">
        <w:rPr>
          <w:rFonts w:cstheme="minorHAnsi"/>
          <w:shd w:val="clear" w:color="auto" w:fill="FFFFFF"/>
        </w:rPr>
        <w:t xml:space="preserve">which </w:t>
      </w:r>
      <w:r w:rsidR="00D37A37" w:rsidRPr="001F37C6">
        <w:rPr>
          <w:rFonts w:cstheme="minorHAnsi"/>
          <w:shd w:val="clear" w:color="auto" w:fill="FFFFFF"/>
        </w:rPr>
        <w:t xml:space="preserve">supports the regulatory framework </w:t>
      </w:r>
    </w:p>
    <w:p w14:paraId="765EF256" w14:textId="77777777" w:rsidR="00D37A37" w:rsidRPr="00F57987" w:rsidRDefault="00D37A37" w:rsidP="00C45B2F">
      <w:pPr>
        <w:pStyle w:val="ListBullet"/>
        <w:rPr>
          <w:rFonts w:cstheme="minorHAnsi"/>
          <w:b/>
          <w:bCs/>
          <w:i/>
          <w:iCs/>
        </w:rPr>
      </w:pPr>
      <w:hyperlink r:id="rId31" w:history="1">
        <w:r w:rsidRPr="00F57987">
          <w:rPr>
            <w:rStyle w:val="Hyperlink"/>
            <w:rFonts w:cstheme="minorHAnsi"/>
            <w:i/>
            <w:iCs/>
          </w:rPr>
          <w:t>Narcotic Drugs (Licence Charges) Act 2016</w:t>
        </w:r>
      </w:hyperlink>
    </w:p>
    <w:p w14:paraId="3383CDE5" w14:textId="2A3B496A" w:rsidR="00D37A37" w:rsidRPr="00F57987" w:rsidRDefault="00D37A37" w:rsidP="00C45B2F">
      <w:pPr>
        <w:pStyle w:val="ListBullet"/>
        <w:rPr>
          <w:rFonts w:cstheme="minorHAnsi"/>
          <w:b/>
          <w:bCs/>
        </w:rPr>
      </w:pPr>
      <w:r w:rsidRPr="00F57987">
        <w:rPr>
          <w:rFonts w:cstheme="minorHAnsi"/>
        </w:rPr>
        <w:t xml:space="preserve">Imposes charges on licences granted </w:t>
      </w:r>
      <w:r w:rsidRPr="001F37C6">
        <w:rPr>
          <w:rFonts w:cstheme="minorHAnsi"/>
        </w:rPr>
        <w:t xml:space="preserve">under </w:t>
      </w:r>
      <w:r w:rsidRPr="00FC6B33">
        <w:rPr>
          <w:rFonts w:cstheme="minorHAnsi"/>
        </w:rPr>
        <w:t xml:space="preserve">the </w:t>
      </w:r>
      <w:r w:rsidR="001F37C6" w:rsidRPr="00FC6B33">
        <w:rPr>
          <w:rFonts w:cstheme="minorHAnsi"/>
        </w:rPr>
        <w:t xml:space="preserve">Narcotic Drugs </w:t>
      </w:r>
      <w:r w:rsidRPr="00FC6B33">
        <w:rPr>
          <w:rFonts w:cstheme="minorHAnsi"/>
        </w:rPr>
        <w:t>Act</w:t>
      </w:r>
    </w:p>
    <w:p w14:paraId="627E9F62" w14:textId="5A2AA0D2" w:rsidR="00D37A37" w:rsidRPr="00F57987" w:rsidRDefault="00D37A37" w:rsidP="00C45B2F">
      <w:pPr>
        <w:pStyle w:val="ListBullet"/>
        <w:rPr>
          <w:rFonts w:cstheme="minorHAnsi"/>
          <w:b/>
          <w:bCs/>
        </w:rPr>
      </w:pPr>
      <w:hyperlink r:id="rId32" w:history="1">
        <w:r w:rsidRPr="00F57987">
          <w:rPr>
            <w:rStyle w:val="Hyperlink"/>
            <w:rFonts w:cstheme="minorHAnsi"/>
            <w:i/>
            <w:iCs/>
          </w:rPr>
          <w:t>Regulatory Powers (Standard Provisions) Act 2014</w:t>
        </w:r>
      </w:hyperlink>
      <w:r w:rsidRPr="00F57987">
        <w:rPr>
          <w:rFonts w:cstheme="minorHAnsi"/>
        </w:rPr>
        <w:t xml:space="preserve"> (</w:t>
      </w:r>
      <w:r w:rsidRPr="002719FF">
        <w:rPr>
          <w:rFonts w:cstheme="minorHAnsi"/>
          <w:b/>
          <w:bCs/>
        </w:rPr>
        <w:t>Regulatory Powers Act</w:t>
      </w:r>
      <w:r w:rsidRPr="00F57987">
        <w:rPr>
          <w:rFonts w:cstheme="minorHAnsi"/>
        </w:rPr>
        <w:t>)</w:t>
      </w:r>
    </w:p>
    <w:p w14:paraId="2EB56099" w14:textId="3F7C42D9" w:rsidR="00D37A37" w:rsidRPr="00F57987" w:rsidRDefault="001F37C6" w:rsidP="00C45B2F">
      <w:pPr>
        <w:pStyle w:val="ListBullet"/>
        <w:rPr>
          <w:rFonts w:cstheme="minorHAnsi"/>
          <w:shd w:val="clear" w:color="auto" w:fill="FFFFFF"/>
        </w:rPr>
      </w:pPr>
      <w:r>
        <w:rPr>
          <w:rFonts w:cstheme="minorHAnsi"/>
          <w:shd w:val="clear" w:color="auto" w:fill="FFFFFF"/>
        </w:rPr>
        <w:t>P</w:t>
      </w:r>
      <w:r w:rsidR="00D37A37" w:rsidRPr="00F57987">
        <w:rPr>
          <w:rFonts w:cstheme="minorHAnsi"/>
          <w:shd w:val="clear" w:color="auto" w:fill="FFFFFF"/>
        </w:rPr>
        <w:t xml:space="preserve">rovides a standard suite of provisions for government </w:t>
      </w:r>
      <w:r w:rsidR="00291564">
        <w:rPr>
          <w:rFonts w:cstheme="minorHAnsi"/>
          <w:shd w:val="clear" w:color="auto" w:fill="FFFFFF"/>
        </w:rPr>
        <w:t xml:space="preserve">regulatory </w:t>
      </w:r>
      <w:r w:rsidR="00D37A37" w:rsidRPr="00F57987">
        <w:rPr>
          <w:rFonts w:cstheme="minorHAnsi"/>
          <w:shd w:val="clear" w:color="auto" w:fill="FFFFFF"/>
        </w:rPr>
        <w:t>agencies in relation to monitoring and investigation powers, and enforcement measures</w:t>
      </w:r>
      <w:r>
        <w:rPr>
          <w:rFonts w:cstheme="minorHAnsi"/>
          <w:shd w:val="clear" w:color="auto" w:fill="FFFFFF"/>
        </w:rPr>
        <w:t>,</w:t>
      </w:r>
      <w:r w:rsidR="00D37A37" w:rsidRPr="00F57987">
        <w:rPr>
          <w:rFonts w:cstheme="minorHAnsi"/>
          <w:shd w:val="clear" w:color="auto" w:fill="FFFFFF"/>
        </w:rPr>
        <w:t xml:space="preserve"> whilst providing safeguards and protecting important common law privileges for regulated entities </w:t>
      </w:r>
    </w:p>
    <w:p w14:paraId="7F4799EE" w14:textId="3A2F0E46" w:rsidR="00D37A37" w:rsidRPr="00F57987" w:rsidRDefault="00D37A37" w:rsidP="00C45B2F">
      <w:pPr>
        <w:pStyle w:val="ListBullet"/>
        <w:rPr>
          <w:rFonts w:cstheme="minorHAnsi"/>
          <w:b/>
          <w:bCs/>
        </w:rPr>
      </w:pPr>
      <w:hyperlink r:id="rId33" w:history="1">
        <w:r w:rsidRPr="00F57987">
          <w:rPr>
            <w:rStyle w:val="Hyperlink"/>
            <w:rFonts w:cstheme="minorHAnsi"/>
            <w:i/>
            <w:iCs/>
          </w:rPr>
          <w:t>Criminal Code Act 1995</w:t>
        </w:r>
      </w:hyperlink>
      <w:r w:rsidRPr="00F57987">
        <w:rPr>
          <w:rFonts w:cstheme="minorHAnsi"/>
        </w:rPr>
        <w:t xml:space="preserve"> </w:t>
      </w:r>
    </w:p>
    <w:p w14:paraId="78E9432F" w14:textId="1D1D426B" w:rsidR="00D37A37" w:rsidRPr="00F57987" w:rsidRDefault="001F37C6" w:rsidP="00C45B2F">
      <w:pPr>
        <w:pStyle w:val="ListBullet"/>
        <w:rPr>
          <w:rFonts w:cstheme="minorHAnsi"/>
          <w:b/>
          <w:bCs/>
          <w:shd w:val="clear" w:color="auto" w:fill="FFFFFF"/>
        </w:rPr>
      </w:pPr>
      <w:r>
        <w:rPr>
          <w:rFonts w:cstheme="minorHAnsi"/>
          <w:shd w:val="clear" w:color="auto" w:fill="FFFFFF"/>
        </w:rPr>
        <w:t>L</w:t>
      </w:r>
      <w:r w:rsidR="00D37A37" w:rsidRPr="00F57987">
        <w:rPr>
          <w:rFonts w:cstheme="minorHAnsi"/>
          <w:shd w:val="clear" w:color="auto" w:fill="FFFFFF"/>
        </w:rPr>
        <w:t xml:space="preserve">egislates the general principles of criminal responsibility under laws of the Commonwealth, irrespective of how the offence is created </w:t>
      </w:r>
    </w:p>
    <w:p w14:paraId="27C34881" w14:textId="1E14735F" w:rsidR="00D37A37" w:rsidRPr="00F57987" w:rsidRDefault="00D37A37" w:rsidP="00C45B2F">
      <w:pPr>
        <w:pStyle w:val="ListBullet"/>
        <w:rPr>
          <w:rFonts w:cstheme="minorHAnsi"/>
          <w:b/>
          <w:bCs/>
        </w:rPr>
      </w:pPr>
      <w:hyperlink r:id="rId34" w:history="1">
        <w:r w:rsidRPr="00F57987">
          <w:rPr>
            <w:rStyle w:val="Hyperlink"/>
            <w:rFonts w:cstheme="minorHAnsi"/>
            <w:i/>
            <w:iCs/>
          </w:rPr>
          <w:t>The Crimes Act 1914</w:t>
        </w:r>
      </w:hyperlink>
      <w:r w:rsidRPr="00F57987">
        <w:rPr>
          <w:rFonts w:cstheme="minorHAnsi"/>
        </w:rPr>
        <w:t xml:space="preserve"> (</w:t>
      </w:r>
      <w:r w:rsidRPr="002719FF">
        <w:rPr>
          <w:rFonts w:cstheme="minorHAnsi"/>
          <w:b/>
          <w:bCs/>
        </w:rPr>
        <w:t>Crimes Act</w:t>
      </w:r>
      <w:r w:rsidRPr="00F57987">
        <w:rPr>
          <w:rFonts w:cstheme="minorHAnsi"/>
        </w:rPr>
        <w:t>)</w:t>
      </w:r>
    </w:p>
    <w:p w14:paraId="5BC7119D" w14:textId="1EBD34BC" w:rsidR="006254F8" w:rsidRDefault="001F37C6" w:rsidP="00C45B2F">
      <w:pPr>
        <w:pStyle w:val="ListBullet"/>
        <w:rPr>
          <w:rFonts w:cstheme="minorHAnsi"/>
        </w:rPr>
      </w:pPr>
      <w:r>
        <w:rPr>
          <w:rFonts w:cstheme="minorHAnsi"/>
        </w:rPr>
        <w:t>A</w:t>
      </w:r>
      <w:r w:rsidR="007A1FDA">
        <w:rPr>
          <w:rFonts w:cstheme="minorHAnsi"/>
        </w:rPr>
        <w:t>n act relating to</w:t>
      </w:r>
      <w:r w:rsidR="00D37A37" w:rsidRPr="00F57987">
        <w:rPr>
          <w:rFonts w:cstheme="minorHAnsi"/>
        </w:rPr>
        <w:t xml:space="preserve"> offences against the Commonwealth</w:t>
      </w:r>
      <w:r w:rsidR="00065B00">
        <w:rPr>
          <w:rFonts w:cstheme="minorHAnsi"/>
        </w:rPr>
        <w:t>.</w:t>
      </w:r>
      <w:r w:rsidR="00D37A37" w:rsidRPr="00F57987">
        <w:rPr>
          <w:rFonts w:cstheme="minorHAnsi"/>
        </w:rPr>
        <w:t xml:space="preserve"> </w:t>
      </w:r>
    </w:p>
    <w:p w14:paraId="16054321" w14:textId="2DA81280" w:rsidR="00D37A37" w:rsidRPr="00F57987" w:rsidRDefault="00D37A37" w:rsidP="00D37A37">
      <w:pPr>
        <w:pStyle w:val="Heading2"/>
        <w:spacing w:after="240"/>
      </w:pPr>
      <w:bookmarkStart w:id="9" w:name="_Toc111825247"/>
      <w:bookmarkStart w:id="10" w:name="_Toc218493499"/>
      <w:r w:rsidRPr="00F57987">
        <w:t>3. Risk-based approach to compliance</w:t>
      </w:r>
      <w:bookmarkEnd w:id="9"/>
      <w:bookmarkEnd w:id="10"/>
    </w:p>
    <w:p w14:paraId="2C5F35D2" w14:textId="4421B380" w:rsidR="00946F7E" w:rsidRPr="00946F7E" w:rsidRDefault="00946F7E" w:rsidP="00946F7E">
      <w:pPr>
        <w:rPr>
          <w:rFonts w:eastAsia="Times New Roman" w:cstheme="minorHAnsi"/>
          <w:color w:val="000000" w:themeColor="text1"/>
          <w:szCs w:val="24"/>
          <w:lang w:eastAsia="en-AU"/>
        </w:rPr>
      </w:pPr>
      <w:r w:rsidRPr="00946F7E">
        <w:rPr>
          <w:rFonts w:eastAsia="Times New Roman" w:cstheme="minorHAnsi"/>
          <w:color w:val="000000" w:themeColor="text1"/>
          <w:szCs w:val="24"/>
          <w:lang w:eastAsia="en-AU"/>
        </w:rPr>
        <w:t>The ODC is committed to a risk-based regulatory approach that delivers strong outcomes, protects public health, and upholds compliance with international drug control conventions. By focusing on high-risk areas, the ODC aims to allocate resources efficiently and proportionately.</w:t>
      </w:r>
    </w:p>
    <w:p w14:paraId="4E31DCC5" w14:textId="132E8875" w:rsidR="00946F7E" w:rsidRPr="00946F7E" w:rsidRDefault="00946F7E" w:rsidP="00946F7E">
      <w:pPr>
        <w:rPr>
          <w:rFonts w:eastAsia="Times New Roman" w:cstheme="minorHAnsi"/>
          <w:color w:val="000000" w:themeColor="text1"/>
          <w:szCs w:val="24"/>
          <w:lang w:eastAsia="en-AU"/>
        </w:rPr>
      </w:pPr>
      <w:r w:rsidRPr="00946F7E">
        <w:rPr>
          <w:rFonts w:eastAsia="Times New Roman" w:cstheme="minorHAnsi"/>
          <w:color w:val="000000" w:themeColor="text1"/>
          <w:szCs w:val="24"/>
          <w:lang w:eastAsia="en-AU"/>
        </w:rPr>
        <w:t xml:space="preserve">This approach enables the ODC to respond appropriately to the nature and severity of non-compliant behaviour by regulated entities. When assessing risks associated with a particular business, the ODC considers a range of factors to determine the most suitable regulatory response, including: </w:t>
      </w:r>
    </w:p>
    <w:p w14:paraId="69EF3F1D" w14:textId="77777777" w:rsidR="00946F7E" w:rsidRPr="00D92F98" w:rsidRDefault="00946F7E" w:rsidP="00C45B2F">
      <w:pPr>
        <w:pStyle w:val="ListBullet"/>
      </w:pPr>
      <w:r w:rsidRPr="00D92F98">
        <w:t xml:space="preserve">probity of the applicant (fit and proper person requirements) </w:t>
      </w:r>
    </w:p>
    <w:p w14:paraId="1A553BAA" w14:textId="77777777" w:rsidR="00946F7E" w:rsidRPr="00D92F98" w:rsidRDefault="00946F7E" w:rsidP="00C45B2F">
      <w:pPr>
        <w:pStyle w:val="ListBullet"/>
      </w:pPr>
      <w:r w:rsidRPr="00D92F98">
        <w:t>type of narcotic</w:t>
      </w:r>
    </w:p>
    <w:p w14:paraId="52DEB376" w14:textId="77777777" w:rsidR="00946F7E" w:rsidRPr="00D92F98" w:rsidRDefault="00946F7E" w:rsidP="00C45B2F">
      <w:pPr>
        <w:pStyle w:val="ListBullet"/>
      </w:pPr>
      <w:r w:rsidRPr="00D92F98">
        <w:t xml:space="preserve">quantities of narcotic required for cultivation, production and/or manufacture </w:t>
      </w:r>
    </w:p>
    <w:p w14:paraId="44979361" w14:textId="77777777" w:rsidR="00946F7E" w:rsidRPr="00D92F98" w:rsidRDefault="00946F7E" w:rsidP="00C45B2F">
      <w:pPr>
        <w:pStyle w:val="ListBullet"/>
      </w:pPr>
      <w:r w:rsidRPr="00D92F98">
        <w:t xml:space="preserve">site security and storage </w:t>
      </w:r>
    </w:p>
    <w:p w14:paraId="05FDBE18" w14:textId="77777777" w:rsidR="00946F7E" w:rsidRPr="00D92F98" w:rsidRDefault="00946F7E" w:rsidP="00C45B2F">
      <w:pPr>
        <w:pStyle w:val="ListBullet"/>
      </w:pPr>
      <w:r w:rsidRPr="00D92F98">
        <w:t xml:space="preserve">location of the facility </w:t>
      </w:r>
    </w:p>
    <w:p w14:paraId="727247A0" w14:textId="77777777" w:rsidR="00946F7E" w:rsidRPr="00D92F98" w:rsidRDefault="00946F7E" w:rsidP="00C45B2F">
      <w:pPr>
        <w:pStyle w:val="ListBullet"/>
      </w:pPr>
      <w:r w:rsidRPr="00D92F98">
        <w:t xml:space="preserve">supply arrangements </w:t>
      </w:r>
    </w:p>
    <w:p w14:paraId="2532CC13" w14:textId="77777777" w:rsidR="00946F7E" w:rsidRPr="00D92F98" w:rsidRDefault="00946F7E" w:rsidP="00C45B2F">
      <w:pPr>
        <w:pStyle w:val="ListBullet"/>
      </w:pPr>
      <w:r w:rsidRPr="00D92F98">
        <w:t xml:space="preserve">compliance history. </w:t>
      </w:r>
    </w:p>
    <w:p w14:paraId="3CE2B10A" w14:textId="2FB8AF4F" w:rsidR="00A21FF3" w:rsidRPr="004F40DA" w:rsidRDefault="000258D3" w:rsidP="00C45B2F">
      <w:pPr>
        <w:rPr>
          <w:rFonts w:ascii="Times New Roman" w:hAnsi="Times New Roman" w:cs="Times New Roman"/>
          <w:sz w:val="24"/>
          <w:szCs w:val="24"/>
          <w:lang w:eastAsia="en-AU"/>
        </w:rPr>
      </w:pPr>
      <w:r>
        <w:t xml:space="preserve">Key </w:t>
      </w:r>
      <w:r w:rsidR="00065B00">
        <w:t>o</w:t>
      </w:r>
      <w:r>
        <w:t>bjectives</w:t>
      </w:r>
      <w:r w:rsidR="00911A78">
        <w:t xml:space="preserve"> of the ODC</w:t>
      </w:r>
      <w:r w:rsidR="00A21FF3">
        <w:t>:</w:t>
      </w:r>
      <w:r w:rsidR="00A21FF3">
        <w:rPr>
          <w:rFonts w:ascii="Times New Roman" w:hAnsi="Times New Roman" w:cs="Times New Roman"/>
          <w:sz w:val="24"/>
          <w:szCs w:val="24"/>
          <w:lang w:eastAsia="en-AU"/>
        </w:rPr>
        <w:t xml:space="preserve"> </w:t>
      </w:r>
    </w:p>
    <w:p w14:paraId="5FAE9B15" w14:textId="79F87ACE" w:rsidR="00A21FF3" w:rsidRPr="00A0245B" w:rsidRDefault="00A47C7D" w:rsidP="00C45B2F">
      <w:pPr>
        <w:pStyle w:val="ListBullet"/>
      </w:pPr>
      <w:r>
        <w:t>r</w:t>
      </w:r>
      <w:r w:rsidR="00A21FF3" w:rsidRPr="00A0245B">
        <w:t>egulate the import, export, cultivation, production and manufacture of controlled drugs</w:t>
      </w:r>
    </w:p>
    <w:p w14:paraId="48805549" w14:textId="1B00F232" w:rsidR="00A21FF3" w:rsidRPr="00A0245B" w:rsidRDefault="00A47C7D" w:rsidP="00C45B2F">
      <w:pPr>
        <w:pStyle w:val="ListBullet"/>
      </w:pPr>
      <w:r>
        <w:t>e</w:t>
      </w:r>
      <w:r w:rsidR="00A21FF3" w:rsidRPr="00A0245B">
        <w:t>nsure the lawful supply of controlled drugs for legitimate purposes</w:t>
      </w:r>
    </w:p>
    <w:p w14:paraId="7E54B77E" w14:textId="37CC6F31" w:rsidR="00A21FF3" w:rsidRPr="00A0245B" w:rsidRDefault="00A47C7D" w:rsidP="00C45B2F">
      <w:pPr>
        <w:pStyle w:val="ListBullet"/>
      </w:pPr>
      <w:r>
        <w:t>p</w:t>
      </w:r>
      <w:r w:rsidR="00A21FF3" w:rsidRPr="00A0245B">
        <w:t>revent diversion and misuse of controlled drugs</w:t>
      </w:r>
    </w:p>
    <w:p w14:paraId="7DA5C049" w14:textId="2515A5DD" w:rsidR="002C5A6C" w:rsidRPr="00A0245B" w:rsidRDefault="00A47C7D" w:rsidP="00C45B2F">
      <w:pPr>
        <w:pStyle w:val="ListBullet"/>
      </w:pPr>
      <w:r>
        <w:t>d</w:t>
      </w:r>
      <w:r w:rsidR="00A21FF3" w:rsidRPr="00A0245B">
        <w:t>etect</w:t>
      </w:r>
      <w:r w:rsidR="00911A78" w:rsidRPr="00A0245B">
        <w:t>,</w:t>
      </w:r>
      <w:r w:rsidR="00A21FF3" w:rsidRPr="00A0245B">
        <w:t xml:space="preserve"> deter</w:t>
      </w:r>
      <w:r w:rsidR="00911A78" w:rsidRPr="00A0245B">
        <w:t xml:space="preserve"> and prevent</w:t>
      </w:r>
      <w:r w:rsidR="00A21FF3" w:rsidRPr="00A0245B">
        <w:t xml:space="preserve"> fraud and corruption</w:t>
      </w:r>
      <w:r w:rsidR="00065B00">
        <w:t>.</w:t>
      </w:r>
    </w:p>
    <w:p w14:paraId="24C50E06" w14:textId="20E7EFB3" w:rsidR="00F63078" w:rsidRDefault="00F63078" w:rsidP="00C45B2F">
      <w:r w:rsidRPr="003F21D8">
        <w:t xml:space="preserve">ODC’s </w:t>
      </w:r>
      <w:r w:rsidR="00911A78" w:rsidRPr="003F21D8">
        <w:t xml:space="preserve">Compliance and Engagement </w:t>
      </w:r>
      <w:r w:rsidRPr="003F21D8">
        <w:t>approach</w:t>
      </w:r>
      <w:r w:rsidR="00911A78">
        <w:t>:</w:t>
      </w:r>
    </w:p>
    <w:p w14:paraId="11CE99EB" w14:textId="4BA5E772" w:rsidR="00F63078" w:rsidRPr="00A0245B" w:rsidRDefault="00A47C7D" w:rsidP="00C45B2F">
      <w:pPr>
        <w:pStyle w:val="ListBullet"/>
      </w:pPr>
      <w:r>
        <w:t>a</w:t>
      </w:r>
      <w:r w:rsidR="00C6266A" w:rsidRPr="00A0245B">
        <w:t>pply</w:t>
      </w:r>
      <w:r w:rsidR="00F63078" w:rsidRPr="00A0245B">
        <w:t xml:space="preserve"> a range of tools</w:t>
      </w:r>
      <w:r w:rsidR="003E7A57">
        <w:t xml:space="preserve">, </w:t>
      </w:r>
      <w:r w:rsidR="00C6266A" w:rsidRPr="00A0245B">
        <w:t>including</w:t>
      </w:r>
      <w:r w:rsidR="00F63078" w:rsidRPr="00A0245B">
        <w:t xml:space="preserve"> education, encouragement, and enforcement</w:t>
      </w:r>
      <w:r w:rsidR="003E7A57">
        <w:t xml:space="preserve">, </w:t>
      </w:r>
      <w:r w:rsidR="00F63078" w:rsidRPr="00A0245B">
        <w:t xml:space="preserve">based on </w:t>
      </w:r>
      <w:r w:rsidR="00784570">
        <w:t xml:space="preserve">intelligence and data-driven </w:t>
      </w:r>
      <w:r w:rsidR="00F63078" w:rsidRPr="00A0245B">
        <w:t>risk assessments</w:t>
      </w:r>
    </w:p>
    <w:p w14:paraId="7B44C5B2" w14:textId="50A790F1" w:rsidR="00F63078" w:rsidRPr="00A0245B" w:rsidRDefault="00A47C7D" w:rsidP="00C45B2F">
      <w:pPr>
        <w:pStyle w:val="ListBullet"/>
      </w:pPr>
      <w:r>
        <w:t>b</w:t>
      </w:r>
      <w:r w:rsidR="00F63078" w:rsidRPr="00A0245B">
        <w:t>alance effective compliance with minimising regulatory burden on stakeholders</w:t>
      </w:r>
    </w:p>
    <w:p w14:paraId="16D3353F" w14:textId="5B936C78" w:rsidR="00A21FF3" w:rsidRDefault="00A47C7D" w:rsidP="00C45B2F">
      <w:pPr>
        <w:pStyle w:val="ListBullet"/>
      </w:pPr>
      <w:r>
        <w:t>f</w:t>
      </w:r>
      <w:r w:rsidR="00C6266A" w:rsidRPr="00A0245B">
        <w:t>oster</w:t>
      </w:r>
      <w:r w:rsidR="00F63078" w:rsidRPr="00A0245B">
        <w:t xml:space="preserve"> cooperation and innovation by </w:t>
      </w:r>
      <w:r w:rsidR="00C6266A" w:rsidRPr="00A0245B">
        <w:t>ensuring</w:t>
      </w:r>
      <w:r w:rsidR="00F63078" w:rsidRPr="00A0245B">
        <w:t xml:space="preserve"> regulation</w:t>
      </w:r>
      <w:r w:rsidR="00F452D0">
        <w:t xml:space="preserve"> i</w:t>
      </w:r>
      <w:r w:rsidR="00F63078" w:rsidRPr="00A0245B">
        <w:t>s reasonable and proportionate</w:t>
      </w:r>
      <w:r w:rsidR="00065B00">
        <w:t>.</w:t>
      </w:r>
      <w:r w:rsidR="00F63078" w:rsidRPr="00A0245B">
        <w:t xml:space="preserve"> </w:t>
      </w:r>
      <w:r w:rsidR="00A21FF3" w:rsidRPr="00A0245B">
        <w:t xml:space="preserve"> </w:t>
      </w:r>
    </w:p>
    <w:p w14:paraId="65C80B74" w14:textId="4120F7A1" w:rsidR="00DE7790" w:rsidRDefault="003E7A57" w:rsidP="00C45B2F">
      <w:r>
        <w:lastRenderedPageBreak/>
        <w:t>Regulated p</w:t>
      </w:r>
      <w:r w:rsidR="007166C1" w:rsidRPr="0065455E">
        <w:t xml:space="preserve">ersons have a responsibility to ensure the risks associated with their proposed activities are clearly identified and that appropriate measures </w:t>
      </w:r>
      <w:r w:rsidR="00214B0E">
        <w:t xml:space="preserve">are implemented </w:t>
      </w:r>
      <w:r w:rsidR="007166C1" w:rsidRPr="0065455E">
        <w:t>to mitigate those risks</w:t>
      </w:r>
      <w:r w:rsidR="006E6CA3" w:rsidRPr="0065455E">
        <w:t>.</w:t>
      </w:r>
      <w:r w:rsidR="00214B0E">
        <w:t xml:space="preserve"> </w:t>
      </w:r>
      <w:r w:rsidR="0054467D">
        <w:t>T</w:t>
      </w:r>
      <w:r w:rsidR="00214B0E">
        <w:t>he graphic below</w:t>
      </w:r>
      <w:r w:rsidR="0054467D">
        <w:t xml:space="preserve"> outlines the ODC’s approach to addressing compliance matters based on the level of </w:t>
      </w:r>
      <w:r>
        <w:t xml:space="preserve">identified </w:t>
      </w:r>
      <w:r w:rsidR="0054467D">
        <w:t xml:space="preserve">risk. </w:t>
      </w:r>
      <w:r w:rsidR="00214B0E">
        <w:t xml:space="preserve"> </w:t>
      </w:r>
    </w:p>
    <w:p w14:paraId="3979A70C" w14:textId="34D12D7F" w:rsidR="003E7A57" w:rsidRDefault="00361C6D" w:rsidP="00320299">
      <w:pPr>
        <w:rPr>
          <w:color w:val="222222"/>
        </w:rPr>
      </w:pPr>
      <w:r w:rsidRPr="00FE26C7">
        <w:rPr>
          <w:noProof/>
          <w:shd w:val="clear" w:color="auto" w:fill="FFFFFF"/>
        </w:rPr>
        <w:drawing>
          <wp:anchor distT="0" distB="0" distL="114300" distR="114300" simplePos="0" relativeHeight="251664384" behindDoc="0" locked="0" layoutInCell="1" allowOverlap="1" wp14:anchorId="087B7D2A" wp14:editId="477D5B02">
            <wp:simplePos x="0" y="0"/>
            <wp:positionH relativeFrom="margin">
              <wp:align>center</wp:align>
            </wp:positionH>
            <wp:positionV relativeFrom="paragraph">
              <wp:posOffset>203200</wp:posOffset>
            </wp:positionV>
            <wp:extent cx="6116320" cy="3495675"/>
            <wp:effectExtent l="0" t="0" r="0" b="9525"/>
            <wp:wrapTopAndBottom/>
            <wp:docPr id="148500022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00226" name="Picture 1" descr="A diagram of a diagram&#10;&#10;AI-generated content may be incorrect."/>
                    <pic:cNvPicPr/>
                  </pic:nvPicPr>
                  <pic:blipFill rotWithShape="1">
                    <a:blip r:embed="rId35">
                      <a:extLst>
                        <a:ext uri="{28A0092B-C50C-407E-A947-70E740481C1C}">
                          <a14:useLocalDpi xmlns:a14="http://schemas.microsoft.com/office/drawing/2010/main" val="0"/>
                        </a:ext>
                      </a:extLst>
                    </a:blip>
                    <a:srcRect b="2132"/>
                    <a:stretch>
                      <a:fillRect/>
                    </a:stretch>
                  </pic:blipFill>
                  <pic:spPr bwMode="auto">
                    <a:xfrm>
                      <a:off x="0" y="0"/>
                      <a:ext cx="6116320" cy="3495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7A57">
        <w:rPr>
          <w:shd w:val="clear" w:color="auto" w:fill="FFFFFF"/>
        </w:rPr>
        <w:t xml:space="preserve">Diagram </w:t>
      </w:r>
      <w:r w:rsidR="003F21D8">
        <w:rPr>
          <w:shd w:val="clear" w:color="auto" w:fill="FFFFFF"/>
        </w:rPr>
        <w:t>1</w:t>
      </w:r>
      <w:r w:rsidR="003E7A57">
        <w:rPr>
          <w:shd w:val="clear" w:color="auto" w:fill="FFFFFF"/>
        </w:rPr>
        <w:t>: ODC’s approach to compliance</w:t>
      </w:r>
    </w:p>
    <w:p w14:paraId="72C37911" w14:textId="052B2D11" w:rsidR="00D5559E" w:rsidRPr="00301C1D" w:rsidRDefault="00D5559E" w:rsidP="00D92F98">
      <w:pPr>
        <w:spacing w:after="160"/>
        <w:jc w:val="center"/>
        <w:rPr>
          <w:rFonts w:cstheme="minorHAnsi"/>
          <w:color w:val="202122"/>
          <w:sz w:val="2"/>
          <w:szCs w:val="2"/>
          <w:shd w:val="clear" w:color="auto" w:fill="FFFFFF"/>
        </w:rPr>
      </w:pPr>
    </w:p>
    <w:p w14:paraId="39E3044A" w14:textId="52820C6F" w:rsidR="00D37A37" w:rsidRPr="00F57987" w:rsidRDefault="00D37A37" w:rsidP="00D37A37">
      <w:pPr>
        <w:spacing w:after="160"/>
        <w:rPr>
          <w:rFonts w:cstheme="minorHAnsi"/>
          <w:b/>
          <w:bCs/>
          <w:color w:val="202122"/>
          <w:shd w:val="clear" w:color="auto" w:fill="FFFFFF"/>
        </w:rPr>
      </w:pPr>
      <w:r w:rsidRPr="00F57987">
        <w:rPr>
          <w:rFonts w:cstheme="minorHAnsi"/>
          <w:color w:val="202122"/>
          <w:shd w:val="clear" w:color="auto" w:fill="FFFFFF"/>
        </w:rPr>
        <w:t xml:space="preserve">The ODC will </w:t>
      </w:r>
      <w:r w:rsidR="00E063FC">
        <w:rPr>
          <w:rFonts w:cstheme="minorHAnsi"/>
          <w:color w:val="202122"/>
          <w:shd w:val="clear" w:color="auto" w:fill="FFFFFF"/>
        </w:rPr>
        <w:t xml:space="preserve">have regard to </w:t>
      </w:r>
      <w:r w:rsidRPr="00F57987">
        <w:rPr>
          <w:rFonts w:cstheme="minorHAnsi"/>
          <w:color w:val="202122"/>
          <w:shd w:val="clear" w:color="auto" w:fill="FFFFFF"/>
        </w:rPr>
        <w:t xml:space="preserve">the below compliance principles </w:t>
      </w:r>
      <w:r w:rsidR="00531DCD">
        <w:rPr>
          <w:rFonts w:cstheme="minorHAnsi"/>
          <w:color w:val="202122"/>
          <w:shd w:val="clear" w:color="auto" w:fill="FFFFFF"/>
        </w:rPr>
        <w:t>when undertaking</w:t>
      </w:r>
      <w:r w:rsidRPr="00F57987">
        <w:rPr>
          <w:rFonts w:cstheme="minorHAnsi"/>
          <w:color w:val="202122"/>
          <w:shd w:val="clear" w:color="auto" w:fill="FFFFFF"/>
        </w:rPr>
        <w:t xml:space="preserve"> its monitoring and compliance activities: </w:t>
      </w:r>
    </w:p>
    <w:tbl>
      <w:tblPr>
        <w:tblStyle w:val="TableGrid"/>
        <w:tblW w:w="5000" w:type="pct"/>
        <w:tblLook w:val="04A0" w:firstRow="1" w:lastRow="0" w:firstColumn="1" w:lastColumn="0" w:noHBand="0" w:noVBand="1"/>
      </w:tblPr>
      <w:tblGrid>
        <w:gridCol w:w="2452"/>
        <w:gridCol w:w="6564"/>
      </w:tblGrid>
      <w:tr w:rsidR="00AB18FA" w:rsidRPr="003165B7" w14:paraId="3F8409B7" w14:textId="77777777" w:rsidTr="00681E34">
        <w:tc>
          <w:tcPr>
            <w:tcW w:w="1360" w:type="pct"/>
            <w:shd w:val="clear" w:color="auto" w:fill="FFFFFF"/>
          </w:tcPr>
          <w:p w14:paraId="1879BF7E"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301C1D">
              <w:rPr>
                <w:rFonts w:asciiTheme="minorHAnsi" w:hAnsiTheme="minorHAnsi" w:cstheme="minorHAnsi"/>
                <w:b/>
                <w:bCs/>
                <w:color w:val="202122"/>
                <w:sz w:val="22"/>
                <w:szCs w:val="22"/>
                <w:shd w:val="clear" w:color="auto" w:fill="FFFFFF"/>
              </w:rPr>
              <w:t>Proportionality</w:t>
            </w:r>
          </w:p>
        </w:tc>
        <w:tc>
          <w:tcPr>
            <w:tcW w:w="3640" w:type="pct"/>
            <w:shd w:val="clear" w:color="auto" w:fill="FFFFFF"/>
          </w:tcPr>
          <w:p w14:paraId="11B3F328" w14:textId="77777777" w:rsidR="00AB18FA" w:rsidRPr="00EE48EE" w:rsidRDefault="00AB18FA" w:rsidP="002E7889">
            <w:pPr>
              <w:spacing w:after="120"/>
              <w:rPr>
                <w:rFonts w:asciiTheme="minorHAnsi" w:hAnsiTheme="minorHAnsi" w:cstheme="minorHAnsi"/>
                <w:b/>
                <w:bCs/>
                <w:color w:val="202122"/>
                <w:sz w:val="22"/>
                <w:szCs w:val="22"/>
                <w:shd w:val="clear" w:color="auto" w:fill="FFFFFF"/>
              </w:rPr>
            </w:pPr>
            <w:r w:rsidRPr="00301C1D">
              <w:rPr>
                <w:rFonts w:asciiTheme="minorHAnsi" w:hAnsiTheme="minorHAnsi" w:cstheme="minorHAnsi"/>
                <w:color w:val="202122"/>
                <w:sz w:val="22"/>
                <w:szCs w:val="22"/>
                <w:shd w:val="clear" w:color="auto" w:fill="FFFFFF"/>
              </w:rPr>
              <w:t>The action the ODC takes is proportional to the seriousness of the non-compliance.</w:t>
            </w:r>
          </w:p>
        </w:tc>
      </w:tr>
      <w:tr w:rsidR="00AB18FA" w:rsidRPr="003165B7" w14:paraId="626A85DB" w14:textId="77777777" w:rsidTr="00681E34">
        <w:tc>
          <w:tcPr>
            <w:tcW w:w="1360" w:type="pct"/>
            <w:shd w:val="clear" w:color="auto" w:fill="FFFFFF"/>
          </w:tcPr>
          <w:p w14:paraId="4775968F"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301C1D">
              <w:rPr>
                <w:rFonts w:asciiTheme="minorHAnsi" w:hAnsiTheme="minorHAnsi" w:cstheme="minorHAnsi"/>
                <w:b/>
                <w:bCs/>
                <w:color w:val="202122"/>
                <w:sz w:val="22"/>
                <w:szCs w:val="22"/>
                <w:shd w:val="clear" w:color="auto" w:fill="FFFFFF"/>
              </w:rPr>
              <w:t>Consistency</w:t>
            </w:r>
            <w:r w:rsidRPr="00301C1D">
              <w:rPr>
                <w:rFonts w:asciiTheme="minorHAnsi" w:hAnsiTheme="minorHAnsi" w:cstheme="minorHAnsi"/>
                <w:color w:val="202122"/>
                <w:sz w:val="22"/>
                <w:szCs w:val="22"/>
                <w:shd w:val="clear" w:color="auto" w:fill="FFFFFF"/>
              </w:rPr>
              <w:t xml:space="preserve"> </w:t>
            </w:r>
          </w:p>
        </w:tc>
        <w:tc>
          <w:tcPr>
            <w:tcW w:w="3640" w:type="pct"/>
            <w:shd w:val="clear" w:color="auto" w:fill="FFFFFF"/>
          </w:tcPr>
          <w:p w14:paraId="051DC711" w14:textId="77777777" w:rsidR="00AB18FA" w:rsidRPr="00EE48EE" w:rsidRDefault="00AB18FA" w:rsidP="002E7889">
            <w:pPr>
              <w:spacing w:after="120"/>
              <w:rPr>
                <w:rFonts w:asciiTheme="minorHAnsi" w:hAnsiTheme="minorHAnsi" w:cstheme="minorHAnsi"/>
                <w:b/>
                <w:bCs/>
                <w:color w:val="202122"/>
                <w:sz w:val="22"/>
                <w:szCs w:val="22"/>
                <w:shd w:val="clear" w:color="auto" w:fill="FFFFFF"/>
              </w:rPr>
            </w:pPr>
            <w:r w:rsidRPr="00301C1D">
              <w:rPr>
                <w:rFonts w:asciiTheme="minorHAnsi" w:hAnsiTheme="minorHAnsi" w:cstheme="minorHAnsi"/>
                <w:color w:val="202122"/>
                <w:sz w:val="22"/>
                <w:szCs w:val="22"/>
                <w:shd w:val="clear" w:color="auto" w:fill="FFFFFF"/>
              </w:rPr>
              <w:t>The ODC ensures our decisions and actions are consistent.</w:t>
            </w:r>
          </w:p>
        </w:tc>
      </w:tr>
      <w:tr w:rsidR="00AB18FA" w:rsidRPr="003165B7" w14:paraId="47255BE2" w14:textId="77777777" w:rsidTr="00681E34">
        <w:tc>
          <w:tcPr>
            <w:tcW w:w="1360" w:type="pct"/>
            <w:shd w:val="clear" w:color="auto" w:fill="FFFFFF"/>
          </w:tcPr>
          <w:p w14:paraId="2B9E029E"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EE48EE">
              <w:rPr>
                <w:rFonts w:asciiTheme="minorHAnsi" w:hAnsiTheme="minorHAnsi" w:cstheme="minorHAnsi"/>
                <w:b/>
                <w:bCs/>
                <w:color w:val="202122"/>
                <w:sz w:val="22"/>
                <w:szCs w:val="22"/>
                <w:shd w:val="clear" w:color="auto" w:fill="FFFFFF"/>
              </w:rPr>
              <w:t>Transparency</w:t>
            </w:r>
            <w:r w:rsidRPr="00EE48EE">
              <w:rPr>
                <w:rFonts w:asciiTheme="minorHAnsi" w:hAnsiTheme="minorHAnsi" w:cstheme="minorHAnsi"/>
                <w:color w:val="202122"/>
                <w:sz w:val="22"/>
                <w:szCs w:val="22"/>
                <w:shd w:val="clear" w:color="auto" w:fill="FFFFFF"/>
              </w:rPr>
              <w:t xml:space="preserve"> </w:t>
            </w:r>
          </w:p>
        </w:tc>
        <w:tc>
          <w:tcPr>
            <w:tcW w:w="3640" w:type="pct"/>
            <w:shd w:val="clear" w:color="auto" w:fill="FFFFFF"/>
          </w:tcPr>
          <w:p w14:paraId="67D73BFE" w14:textId="1FDCCFA9" w:rsidR="00AB18FA" w:rsidRPr="00EE48EE" w:rsidRDefault="00AB18FA" w:rsidP="002E7889">
            <w:pPr>
              <w:spacing w:after="120"/>
              <w:rPr>
                <w:rFonts w:asciiTheme="minorHAnsi" w:hAnsiTheme="minorHAnsi" w:cstheme="minorHAnsi"/>
                <w:b/>
                <w:bCs/>
                <w:color w:val="202122"/>
                <w:sz w:val="22"/>
                <w:szCs w:val="22"/>
                <w:shd w:val="clear" w:color="auto" w:fill="FFFFFF"/>
              </w:rPr>
            </w:pPr>
            <w:r w:rsidRPr="00EE48EE">
              <w:rPr>
                <w:rFonts w:asciiTheme="minorHAnsi" w:hAnsiTheme="minorHAnsi" w:cstheme="minorHAnsi"/>
                <w:color w:val="202122"/>
                <w:sz w:val="22"/>
                <w:szCs w:val="22"/>
                <w:shd w:val="clear" w:color="auto" w:fill="FFFFFF"/>
              </w:rPr>
              <w:t>The ODC publish</w:t>
            </w:r>
            <w:r w:rsidR="002623D7" w:rsidRPr="00EE48EE">
              <w:rPr>
                <w:rFonts w:asciiTheme="minorHAnsi" w:hAnsiTheme="minorHAnsi" w:cstheme="minorHAnsi"/>
                <w:color w:val="202122"/>
                <w:sz w:val="22"/>
                <w:szCs w:val="22"/>
                <w:shd w:val="clear" w:color="auto" w:fill="FFFFFF"/>
              </w:rPr>
              <w:t>es</w:t>
            </w:r>
            <w:r w:rsidRPr="00EE48EE">
              <w:rPr>
                <w:rFonts w:asciiTheme="minorHAnsi" w:hAnsiTheme="minorHAnsi" w:cstheme="minorHAnsi"/>
                <w:color w:val="202122"/>
                <w:sz w:val="22"/>
                <w:szCs w:val="22"/>
                <w:shd w:val="clear" w:color="auto" w:fill="FFFFFF"/>
              </w:rPr>
              <w:t xml:space="preserve"> general information on how to comply with the legislation.</w:t>
            </w:r>
          </w:p>
        </w:tc>
      </w:tr>
      <w:tr w:rsidR="00AB18FA" w:rsidRPr="003165B7" w14:paraId="307538D2" w14:textId="77777777" w:rsidTr="00681E34">
        <w:tc>
          <w:tcPr>
            <w:tcW w:w="1360" w:type="pct"/>
            <w:shd w:val="clear" w:color="auto" w:fill="FFFFFF"/>
          </w:tcPr>
          <w:p w14:paraId="7F42DA6B"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EE48EE">
              <w:rPr>
                <w:rFonts w:asciiTheme="minorHAnsi" w:hAnsiTheme="minorHAnsi" w:cstheme="minorHAnsi"/>
                <w:b/>
                <w:bCs/>
                <w:color w:val="202122"/>
                <w:sz w:val="22"/>
                <w:szCs w:val="22"/>
                <w:shd w:val="clear" w:color="auto" w:fill="FFFFFF"/>
              </w:rPr>
              <w:t xml:space="preserve">Confidentiality </w:t>
            </w:r>
          </w:p>
        </w:tc>
        <w:tc>
          <w:tcPr>
            <w:tcW w:w="3640" w:type="pct"/>
            <w:shd w:val="clear" w:color="auto" w:fill="FFFFFF"/>
          </w:tcPr>
          <w:p w14:paraId="42C23B99" w14:textId="77777777" w:rsidR="00AB18FA" w:rsidRPr="00EE48EE" w:rsidRDefault="00AB18FA" w:rsidP="002E7889">
            <w:pPr>
              <w:spacing w:after="120"/>
              <w:rPr>
                <w:rFonts w:asciiTheme="minorHAnsi" w:hAnsiTheme="minorHAnsi" w:cstheme="minorHAnsi"/>
                <w:b/>
                <w:bCs/>
                <w:color w:val="202122"/>
                <w:sz w:val="22"/>
                <w:szCs w:val="22"/>
                <w:shd w:val="clear" w:color="auto" w:fill="FFFFFF"/>
              </w:rPr>
            </w:pPr>
            <w:r w:rsidRPr="00EE48EE">
              <w:rPr>
                <w:rFonts w:asciiTheme="minorHAnsi" w:hAnsiTheme="minorHAnsi" w:cstheme="minorHAnsi"/>
                <w:color w:val="202122"/>
                <w:sz w:val="22"/>
                <w:szCs w:val="22"/>
                <w:shd w:val="clear" w:color="auto" w:fill="FFFFFF"/>
              </w:rPr>
              <w:t>The ODC keeps your information confidential while investigating complaints. We may publish enforcement outcomes and significant decisions where in the public interest to do so.</w:t>
            </w:r>
          </w:p>
        </w:tc>
      </w:tr>
      <w:tr w:rsidR="00AB18FA" w:rsidRPr="003165B7" w14:paraId="2F89B233" w14:textId="77777777" w:rsidTr="00681E34">
        <w:tc>
          <w:tcPr>
            <w:tcW w:w="1360" w:type="pct"/>
            <w:shd w:val="clear" w:color="auto" w:fill="FFFFFF"/>
          </w:tcPr>
          <w:p w14:paraId="1C119AC5"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EE48EE">
              <w:rPr>
                <w:rFonts w:asciiTheme="minorHAnsi" w:hAnsiTheme="minorHAnsi" w:cstheme="minorHAnsi"/>
                <w:b/>
                <w:bCs/>
                <w:color w:val="202122"/>
                <w:sz w:val="22"/>
                <w:szCs w:val="22"/>
                <w:shd w:val="clear" w:color="auto" w:fill="FFFFFF"/>
              </w:rPr>
              <w:t>Timeliness</w:t>
            </w:r>
          </w:p>
        </w:tc>
        <w:tc>
          <w:tcPr>
            <w:tcW w:w="3640" w:type="pct"/>
            <w:shd w:val="clear" w:color="auto" w:fill="FFFFFF"/>
          </w:tcPr>
          <w:p w14:paraId="6A6B402B" w14:textId="77777777" w:rsidR="00AB18FA" w:rsidRPr="00EE48EE" w:rsidRDefault="00AB18FA" w:rsidP="002E7889">
            <w:pPr>
              <w:spacing w:after="120"/>
              <w:rPr>
                <w:rFonts w:asciiTheme="minorHAnsi" w:hAnsiTheme="minorHAnsi" w:cstheme="minorHAnsi"/>
                <w:b/>
                <w:bCs/>
                <w:sz w:val="22"/>
                <w:szCs w:val="22"/>
                <w:shd w:val="clear" w:color="auto" w:fill="FFFFFF"/>
              </w:rPr>
            </w:pPr>
            <w:r w:rsidRPr="00EE48EE">
              <w:rPr>
                <w:rFonts w:asciiTheme="minorHAnsi" w:hAnsiTheme="minorHAnsi" w:cstheme="minorHAnsi"/>
                <w:color w:val="202122"/>
                <w:sz w:val="22"/>
                <w:szCs w:val="22"/>
                <w:shd w:val="clear" w:color="auto" w:fill="FFFFFF"/>
              </w:rPr>
              <w:t xml:space="preserve">The ODC investigates efficiently, ensuring that operations are not unnecessarily impeded. </w:t>
            </w:r>
          </w:p>
        </w:tc>
      </w:tr>
      <w:tr w:rsidR="00AB18FA" w:rsidRPr="003165B7" w14:paraId="5C311DBC" w14:textId="77777777" w:rsidTr="00681E34">
        <w:tc>
          <w:tcPr>
            <w:tcW w:w="1360" w:type="pct"/>
          </w:tcPr>
          <w:p w14:paraId="50861CAD" w14:textId="77777777" w:rsidR="00AB18FA" w:rsidRPr="00EE48EE" w:rsidRDefault="00AB18FA" w:rsidP="002E7889">
            <w:pPr>
              <w:rPr>
                <w:rFonts w:asciiTheme="minorHAnsi" w:hAnsiTheme="minorHAnsi" w:cstheme="minorHAnsi"/>
                <w:sz w:val="22"/>
                <w:szCs w:val="22"/>
              </w:rPr>
            </w:pPr>
            <w:r w:rsidRPr="00EE48EE">
              <w:rPr>
                <w:rFonts w:asciiTheme="minorHAnsi" w:hAnsiTheme="minorHAnsi" w:cstheme="minorHAnsi"/>
                <w:b/>
                <w:bCs/>
                <w:color w:val="202122"/>
                <w:sz w:val="22"/>
                <w:szCs w:val="22"/>
                <w:shd w:val="clear" w:color="auto" w:fill="FFFFFF"/>
              </w:rPr>
              <w:t>Operational Efficiency</w:t>
            </w:r>
          </w:p>
        </w:tc>
        <w:tc>
          <w:tcPr>
            <w:tcW w:w="3640" w:type="pct"/>
          </w:tcPr>
          <w:p w14:paraId="440703FF" w14:textId="77777777" w:rsidR="00AB18FA" w:rsidRPr="00EE48EE" w:rsidRDefault="00AB18FA" w:rsidP="002E7889">
            <w:pPr>
              <w:rPr>
                <w:rFonts w:asciiTheme="minorHAnsi" w:hAnsiTheme="minorHAnsi" w:cstheme="minorHAnsi"/>
                <w:color w:val="202122"/>
                <w:sz w:val="22"/>
                <w:szCs w:val="22"/>
                <w:shd w:val="clear" w:color="auto" w:fill="FFFFFF"/>
              </w:rPr>
            </w:pPr>
            <w:r w:rsidRPr="00EE48EE">
              <w:rPr>
                <w:rFonts w:asciiTheme="minorHAnsi" w:hAnsiTheme="minorHAnsi" w:cstheme="minorHAnsi"/>
                <w:color w:val="202122"/>
                <w:sz w:val="22"/>
                <w:szCs w:val="22"/>
                <w:shd w:val="clear" w:color="auto" w:fill="FFFFFF"/>
              </w:rPr>
              <w:t>The ODC aims to minimise unnecessary regulatory burden and avoid impeding legitimate trade and operations, including timely processing of applications, permits, and variations.</w:t>
            </w:r>
          </w:p>
        </w:tc>
      </w:tr>
      <w:tr w:rsidR="00AB18FA" w:rsidRPr="003165B7" w14:paraId="1EC796A0" w14:textId="77777777" w:rsidTr="00681E34">
        <w:tc>
          <w:tcPr>
            <w:tcW w:w="1360" w:type="pct"/>
            <w:shd w:val="clear" w:color="auto" w:fill="FFFFFF"/>
          </w:tcPr>
          <w:p w14:paraId="634E95CD"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EE48EE">
              <w:rPr>
                <w:rFonts w:asciiTheme="minorHAnsi" w:hAnsiTheme="minorHAnsi" w:cstheme="minorHAnsi"/>
                <w:b/>
                <w:bCs/>
                <w:color w:val="202122"/>
                <w:sz w:val="22"/>
                <w:szCs w:val="22"/>
                <w:shd w:val="clear" w:color="auto" w:fill="FFFFFF"/>
              </w:rPr>
              <w:t>Fairness</w:t>
            </w:r>
            <w:r w:rsidRPr="00EE48EE">
              <w:rPr>
                <w:rFonts w:asciiTheme="minorHAnsi" w:hAnsiTheme="minorHAnsi" w:cstheme="minorHAnsi"/>
                <w:color w:val="202122"/>
                <w:sz w:val="22"/>
                <w:szCs w:val="22"/>
                <w:shd w:val="clear" w:color="auto" w:fill="FFFFFF"/>
              </w:rPr>
              <w:t xml:space="preserve"> </w:t>
            </w:r>
          </w:p>
        </w:tc>
        <w:tc>
          <w:tcPr>
            <w:tcW w:w="3640" w:type="pct"/>
            <w:shd w:val="clear" w:color="auto" w:fill="FFFFFF"/>
          </w:tcPr>
          <w:p w14:paraId="58D5D7E0" w14:textId="77777777" w:rsidR="00AB18FA" w:rsidRPr="00EE48EE" w:rsidRDefault="00AB18FA" w:rsidP="002E7889">
            <w:pPr>
              <w:spacing w:after="120"/>
              <w:rPr>
                <w:rFonts w:asciiTheme="minorHAnsi" w:hAnsiTheme="minorHAnsi" w:cstheme="minorHAnsi"/>
                <w:color w:val="202122"/>
                <w:sz w:val="22"/>
                <w:szCs w:val="22"/>
                <w:shd w:val="clear" w:color="auto" w:fill="FFFFFF"/>
              </w:rPr>
            </w:pPr>
            <w:r w:rsidRPr="00EE48EE">
              <w:rPr>
                <w:rFonts w:asciiTheme="minorHAnsi" w:hAnsiTheme="minorHAnsi" w:cstheme="minorHAnsi"/>
                <w:color w:val="202122"/>
                <w:sz w:val="22"/>
                <w:szCs w:val="22"/>
                <w:shd w:val="clear" w:color="auto" w:fill="FFFFFF"/>
              </w:rPr>
              <w:t>The ODC undertakes activities with integrity, professionalism, and due regard to procedural fairness.</w:t>
            </w:r>
          </w:p>
        </w:tc>
      </w:tr>
    </w:tbl>
    <w:p w14:paraId="162D9D24" w14:textId="77777777" w:rsidR="006254F8" w:rsidRDefault="006254F8" w:rsidP="003E5F27">
      <w:pPr>
        <w:shd w:val="clear" w:color="auto" w:fill="FFFFFF"/>
        <w:tabs>
          <w:tab w:val="left" w:pos="2127"/>
        </w:tabs>
        <w:spacing w:after="120"/>
        <w:rPr>
          <w:rFonts w:cstheme="minorHAnsi"/>
          <w:color w:val="202122"/>
          <w:shd w:val="clear" w:color="auto" w:fill="FFFFFF"/>
        </w:rPr>
      </w:pPr>
    </w:p>
    <w:p w14:paraId="35D51D56" w14:textId="5D6BFC18" w:rsidR="00D37A37" w:rsidRPr="00F57987" w:rsidRDefault="00FA1B5E" w:rsidP="00D26520">
      <w:pPr>
        <w:pStyle w:val="Heading2"/>
        <w:spacing w:after="240"/>
      </w:pPr>
      <w:bookmarkStart w:id="11" w:name="_Toc218493500"/>
      <w:r w:rsidRPr="00F57987">
        <w:lastRenderedPageBreak/>
        <w:t xml:space="preserve">4. </w:t>
      </w:r>
      <w:r w:rsidR="00D37A37" w:rsidRPr="00F57987">
        <w:t xml:space="preserve">Compliance </w:t>
      </w:r>
      <w:r w:rsidR="00320299">
        <w:t>m</w:t>
      </w:r>
      <w:r w:rsidR="00D37A37" w:rsidRPr="00F57987">
        <w:t>onitoring</w:t>
      </w:r>
      <w:bookmarkEnd w:id="11"/>
    </w:p>
    <w:p w14:paraId="45B5305A" w14:textId="1F2799BB" w:rsidR="00D37A37" w:rsidRPr="003F21D8" w:rsidRDefault="00D37A37" w:rsidP="003F21D8">
      <w:pPr>
        <w:pStyle w:val="Paragraphtext"/>
        <w:rPr>
          <w:rFonts w:asciiTheme="minorHAnsi" w:hAnsiTheme="minorHAnsi" w:cstheme="minorHAnsi"/>
          <w:b/>
          <w:bCs/>
          <w:sz w:val="22"/>
          <w:szCs w:val="22"/>
        </w:rPr>
      </w:pPr>
      <w:r w:rsidRPr="00F57987">
        <w:rPr>
          <w:rFonts w:asciiTheme="minorHAnsi" w:hAnsiTheme="minorHAnsi" w:cstheme="minorHAnsi"/>
          <w:color w:val="222222"/>
          <w:sz w:val="22"/>
          <w:szCs w:val="22"/>
        </w:rPr>
        <w:t xml:space="preserve">A systematic, risk-based </w:t>
      </w:r>
      <w:r w:rsidR="00784570">
        <w:rPr>
          <w:rFonts w:asciiTheme="minorHAnsi" w:hAnsiTheme="minorHAnsi" w:cstheme="minorHAnsi"/>
          <w:color w:val="222222"/>
          <w:sz w:val="22"/>
          <w:szCs w:val="22"/>
        </w:rPr>
        <w:t>approach to compliance</w:t>
      </w:r>
      <w:r w:rsidRPr="00F57987">
        <w:rPr>
          <w:rFonts w:asciiTheme="minorHAnsi" w:hAnsiTheme="minorHAnsi" w:cstheme="minorHAnsi"/>
          <w:color w:val="222222"/>
          <w:sz w:val="22"/>
          <w:szCs w:val="22"/>
        </w:rPr>
        <w:t xml:space="preserve"> activities provides the ODC with a cost-effective </w:t>
      </w:r>
      <w:r w:rsidR="00784570" w:rsidRPr="00F57987">
        <w:rPr>
          <w:rFonts w:asciiTheme="minorHAnsi" w:hAnsiTheme="minorHAnsi" w:cstheme="minorHAnsi"/>
          <w:color w:val="222222"/>
          <w:sz w:val="22"/>
          <w:szCs w:val="22"/>
        </w:rPr>
        <w:t>method</w:t>
      </w:r>
      <w:r w:rsidRPr="00F57987">
        <w:rPr>
          <w:rFonts w:asciiTheme="minorHAnsi" w:hAnsiTheme="minorHAnsi" w:cstheme="minorHAnsi"/>
          <w:color w:val="222222"/>
          <w:sz w:val="22"/>
          <w:szCs w:val="22"/>
        </w:rPr>
        <w:t xml:space="preserve"> to monitoring compliance</w:t>
      </w:r>
      <w:r w:rsidR="00BA14A6">
        <w:rPr>
          <w:rFonts w:asciiTheme="minorHAnsi" w:hAnsiTheme="minorHAnsi" w:cstheme="minorHAnsi"/>
          <w:color w:val="222222"/>
          <w:sz w:val="22"/>
          <w:szCs w:val="22"/>
        </w:rPr>
        <w:t>. R</w:t>
      </w:r>
      <w:r w:rsidRPr="00F57987">
        <w:rPr>
          <w:rFonts w:asciiTheme="minorHAnsi" w:hAnsiTheme="minorHAnsi" w:cstheme="minorHAnsi"/>
          <w:color w:val="222222"/>
          <w:sz w:val="22"/>
          <w:szCs w:val="22"/>
        </w:rPr>
        <w:t xml:space="preserve">esources </w:t>
      </w:r>
      <w:r w:rsidR="00BA14A6">
        <w:rPr>
          <w:rFonts w:asciiTheme="minorHAnsi" w:hAnsiTheme="minorHAnsi" w:cstheme="minorHAnsi"/>
          <w:color w:val="222222"/>
          <w:sz w:val="22"/>
          <w:szCs w:val="22"/>
        </w:rPr>
        <w:t>are</w:t>
      </w:r>
      <w:r w:rsidRPr="00F57987">
        <w:rPr>
          <w:rFonts w:asciiTheme="minorHAnsi" w:hAnsiTheme="minorHAnsi" w:cstheme="minorHAnsi"/>
          <w:color w:val="222222"/>
          <w:sz w:val="22"/>
          <w:szCs w:val="22"/>
        </w:rPr>
        <w:t xml:space="preserve"> </w:t>
      </w:r>
      <w:r w:rsidR="00784570" w:rsidRPr="00F57987">
        <w:rPr>
          <w:rFonts w:asciiTheme="minorHAnsi" w:hAnsiTheme="minorHAnsi" w:cstheme="minorHAnsi"/>
          <w:color w:val="222222"/>
          <w:sz w:val="22"/>
          <w:szCs w:val="22"/>
        </w:rPr>
        <w:t>directed</w:t>
      </w:r>
      <w:r w:rsidRPr="00F57987">
        <w:rPr>
          <w:rFonts w:asciiTheme="minorHAnsi" w:hAnsiTheme="minorHAnsi" w:cstheme="minorHAnsi"/>
          <w:color w:val="222222"/>
          <w:sz w:val="22"/>
          <w:szCs w:val="22"/>
        </w:rPr>
        <w:t xml:space="preserve"> to higher priority </w:t>
      </w:r>
      <w:r w:rsidR="00BA14A6">
        <w:rPr>
          <w:rFonts w:asciiTheme="minorHAnsi" w:hAnsiTheme="minorHAnsi" w:cstheme="minorHAnsi"/>
          <w:color w:val="222222"/>
          <w:sz w:val="22"/>
          <w:szCs w:val="22"/>
        </w:rPr>
        <w:t xml:space="preserve">and emerging </w:t>
      </w:r>
      <w:r w:rsidRPr="00F57987">
        <w:rPr>
          <w:rFonts w:asciiTheme="minorHAnsi" w:hAnsiTheme="minorHAnsi" w:cstheme="minorHAnsi"/>
          <w:color w:val="222222"/>
          <w:sz w:val="22"/>
          <w:szCs w:val="22"/>
        </w:rPr>
        <w:t>regulatory risks</w:t>
      </w:r>
      <w:r w:rsidRPr="008B6169">
        <w:rPr>
          <w:rFonts w:asciiTheme="minorHAnsi" w:hAnsiTheme="minorHAnsi" w:cstheme="minorHAnsi"/>
          <w:color w:val="222222"/>
          <w:sz w:val="22"/>
          <w:szCs w:val="22"/>
        </w:rPr>
        <w:t xml:space="preserve"> allow</w:t>
      </w:r>
      <w:r w:rsidR="00BA14A6">
        <w:rPr>
          <w:rFonts w:asciiTheme="minorHAnsi" w:hAnsiTheme="minorHAnsi" w:cstheme="minorHAnsi"/>
          <w:color w:val="222222"/>
          <w:sz w:val="22"/>
          <w:szCs w:val="22"/>
        </w:rPr>
        <w:t>ing</w:t>
      </w:r>
      <w:r w:rsidRPr="008B6169">
        <w:rPr>
          <w:rFonts w:asciiTheme="minorHAnsi" w:hAnsiTheme="minorHAnsi" w:cstheme="minorHAnsi"/>
          <w:color w:val="222222"/>
          <w:sz w:val="22"/>
          <w:szCs w:val="22"/>
        </w:rPr>
        <w:t xml:space="preserve"> for </w:t>
      </w:r>
      <w:r w:rsidR="00531DCD" w:rsidRPr="008B6169">
        <w:rPr>
          <w:rFonts w:asciiTheme="minorHAnsi" w:hAnsiTheme="minorHAnsi" w:cstheme="minorHAnsi"/>
          <w:color w:val="222222"/>
          <w:sz w:val="22"/>
          <w:szCs w:val="22"/>
        </w:rPr>
        <w:t xml:space="preserve">a </w:t>
      </w:r>
      <w:r w:rsidRPr="008B6169">
        <w:rPr>
          <w:rFonts w:asciiTheme="minorHAnsi" w:hAnsiTheme="minorHAnsi" w:cstheme="minorHAnsi"/>
          <w:color w:val="222222"/>
          <w:sz w:val="22"/>
          <w:szCs w:val="22"/>
        </w:rPr>
        <w:t xml:space="preserve">proactive response to changing </w:t>
      </w:r>
      <w:r w:rsidR="00BA14A6">
        <w:rPr>
          <w:rFonts w:asciiTheme="minorHAnsi" w:hAnsiTheme="minorHAnsi" w:cstheme="minorHAnsi"/>
          <w:color w:val="222222"/>
          <w:sz w:val="22"/>
          <w:szCs w:val="22"/>
        </w:rPr>
        <w:t xml:space="preserve">and escalating </w:t>
      </w:r>
      <w:r w:rsidRPr="008B6169">
        <w:rPr>
          <w:rFonts w:asciiTheme="minorHAnsi" w:hAnsiTheme="minorHAnsi" w:cstheme="minorHAnsi"/>
          <w:color w:val="222222"/>
          <w:sz w:val="22"/>
          <w:szCs w:val="22"/>
        </w:rPr>
        <w:t xml:space="preserve">threats. </w:t>
      </w:r>
      <w:r w:rsidRPr="003F21D8">
        <w:rPr>
          <w:rFonts w:asciiTheme="minorHAnsi" w:hAnsiTheme="minorHAnsi" w:cstheme="minorHAnsi"/>
          <w:sz w:val="22"/>
          <w:szCs w:val="22"/>
        </w:rPr>
        <w:t>There are several ways that ODC can detect or receive information relating to non-compliance including through:</w:t>
      </w:r>
    </w:p>
    <w:p w14:paraId="530CCE1A" w14:textId="2B353F7A" w:rsidR="00D37A37" w:rsidRPr="0065455E" w:rsidRDefault="00D37A37" w:rsidP="00320299">
      <w:pPr>
        <w:pStyle w:val="ListBullet"/>
      </w:pPr>
      <w:r w:rsidRPr="0065455E">
        <w:t>self-reporting</w:t>
      </w:r>
      <w:r w:rsidR="003E7EB6">
        <w:t xml:space="preserve"> and notifying the </w:t>
      </w:r>
      <w:r w:rsidR="0054467D">
        <w:t>ODC</w:t>
      </w:r>
    </w:p>
    <w:p w14:paraId="4DF227D7" w14:textId="45232758" w:rsidR="001F535B" w:rsidRPr="0065455E" w:rsidRDefault="00D37A37" w:rsidP="00320299">
      <w:pPr>
        <w:pStyle w:val="ListBullet"/>
      </w:pPr>
      <w:r w:rsidRPr="0065455E">
        <w:t>inspections or assessment activities</w:t>
      </w:r>
    </w:p>
    <w:p w14:paraId="44F28F86" w14:textId="7B3A2E9C" w:rsidR="001F535B" w:rsidRPr="0065455E" w:rsidRDefault="00D37A37" w:rsidP="00320299">
      <w:pPr>
        <w:pStyle w:val="ListBullet"/>
      </w:pPr>
      <w:r w:rsidRPr="0065455E">
        <w:t>tip-offs</w:t>
      </w:r>
      <w:r w:rsidR="002C5A6C">
        <w:t>, including</w:t>
      </w:r>
      <w:r w:rsidRPr="0065455E">
        <w:t xml:space="preserve"> via anonymous sources</w:t>
      </w:r>
    </w:p>
    <w:p w14:paraId="2D4BA8C4" w14:textId="5CCB2DFC" w:rsidR="00D37A37" w:rsidRPr="0065455E" w:rsidRDefault="00D37A37" w:rsidP="00320299">
      <w:pPr>
        <w:pStyle w:val="ListBullet"/>
      </w:pPr>
      <w:r w:rsidRPr="0065455E">
        <w:t>referrals from industry bodies</w:t>
      </w:r>
    </w:p>
    <w:p w14:paraId="4A964191" w14:textId="0C1964AC" w:rsidR="00D37A37" w:rsidRPr="0065455E" w:rsidRDefault="00D37A37" w:rsidP="00320299">
      <w:pPr>
        <w:pStyle w:val="ListBullet"/>
      </w:pPr>
      <w:r w:rsidRPr="0065455E">
        <w:t>maintaining close relationships with law enforcement and other government agencies</w:t>
      </w:r>
    </w:p>
    <w:p w14:paraId="015E33C4" w14:textId="23B1331E" w:rsidR="00D37A37" w:rsidRPr="0065455E" w:rsidRDefault="00D37A37" w:rsidP="00320299">
      <w:pPr>
        <w:pStyle w:val="ListBullet"/>
      </w:pPr>
      <w:r w:rsidRPr="0065455E">
        <w:t>sampling of narcotics to ensure they comply with licence and permit requirements</w:t>
      </w:r>
    </w:p>
    <w:p w14:paraId="653F38F1" w14:textId="46F48425" w:rsidR="0065455E" w:rsidRDefault="00D37A37" w:rsidP="00320299">
      <w:pPr>
        <w:pStyle w:val="ListBullet"/>
      </w:pPr>
      <w:r w:rsidRPr="0065455E">
        <w:t xml:space="preserve">regular requests for information from </w:t>
      </w:r>
      <w:r w:rsidR="0028184D" w:rsidRPr="0065455E">
        <w:t>various</w:t>
      </w:r>
      <w:r w:rsidRPr="0065455E">
        <w:t xml:space="preserve"> sources</w:t>
      </w:r>
      <w:r w:rsidR="0028184D" w:rsidRPr="0065455E">
        <w:t xml:space="preserve"> including regulated persons</w:t>
      </w:r>
      <w:r w:rsidRPr="0065455E">
        <w:t xml:space="preserve">. </w:t>
      </w:r>
    </w:p>
    <w:p w14:paraId="65144A3C" w14:textId="1425DBE3" w:rsidR="00D37A37" w:rsidRPr="00F57987" w:rsidRDefault="00316380" w:rsidP="00D37A37">
      <w:pPr>
        <w:pStyle w:val="Paragraphtext"/>
        <w:rPr>
          <w:rFonts w:asciiTheme="minorHAnsi" w:hAnsiTheme="minorHAnsi" w:cstheme="minorHAnsi"/>
          <w:b/>
          <w:bCs/>
          <w:color w:val="222222"/>
          <w:sz w:val="22"/>
          <w:szCs w:val="22"/>
        </w:rPr>
      </w:pPr>
      <w:r>
        <w:rPr>
          <w:rFonts w:asciiTheme="minorHAnsi" w:hAnsiTheme="minorHAnsi" w:cstheme="minorHAnsi"/>
          <w:color w:val="222222"/>
          <w:sz w:val="22"/>
          <w:szCs w:val="22"/>
        </w:rPr>
        <w:t>R</w:t>
      </w:r>
      <w:r w:rsidR="00D37A37" w:rsidRPr="00F57987">
        <w:rPr>
          <w:rFonts w:asciiTheme="minorHAnsi" w:hAnsiTheme="minorHAnsi" w:cstheme="minorHAnsi"/>
          <w:color w:val="222222"/>
          <w:sz w:val="22"/>
          <w:szCs w:val="22"/>
        </w:rPr>
        <w:t>egularly reviewing</w:t>
      </w:r>
      <w:r>
        <w:rPr>
          <w:rFonts w:asciiTheme="minorHAnsi" w:hAnsiTheme="minorHAnsi" w:cstheme="minorHAnsi"/>
          <w:color w:val="222222"/>
          <w:sz w:val="22"/>
          <w:szCs w:val="22"/>
        </w:rPr>
        <w:t xml:space="preserve"> the</w:t>
      </w:r>
      <w:r w:rsidR="00D37A37" w:rsidRPr="00F57987">
        <w:rPr>
          <w:rFonts w:asciiTheme="minorHAnsi" w:hAnsiTheme="minorHAnsi" w:cstheme="minorHAnsi"/>
          <w:color w:val="222222"/>
          <w:sz w:val="22"/>
          <w:szCs w:val="22"/>
        </w:rPr>
        <w:t xml:space="preserve"> information </w:t>
      </w:r>
      <w:r w:rsidR="00A61DD3">
        <w:rPr>
          <w:rFonts w:asciiTheme="minorHAnsi" w:hAnsiTheme="minorHAnsi" w:cstheme="minorHAnsi"/>
          <w:color w:val="222222"/>
          <w:sz w:val="22"/>
          <w:szCs w:val="22"/>
        </w:rPr>
        <w:t xml:space="preserve">received </w:t>
      </w:r>
      <w:r w:rsidR="00A61DD3" w:rsidRPr="00F57987">
        <w:rPr>
          <w:rFonts w:asciiTheme="minorHAnsi" w:hAnsiTheme="minorHAnsi" w:cstheme="minorHAnsi"/>
          <w:color w:val="222222"/>
          <w:sz w:val="22"/>
          <w:szCs w:val="22"/>
        </w:rPr>
        <w:t>assists</w:t>
      </w:r>
      <w:r w:rsidR="00D37A37" w:rsidRPr="00F57987">
        <w:rPr>
          <w:rFonts w:asciiTheme="minorHAnsi" w:hAnsiTheme="minorHAnsi" w:cstheme="minorHAnsi"/>
          <w:color w:val="222222"/>
          <w:sz w:val="22"/>
          <w:szCs w:val="22"/>
        </w:rPr>
        <w:t xml:space="preserve"> the ODC to identify trends or behaviours that can indicate non-compliance. </w:t>
      </w:r>
      <w:r>
        <w:rPr>
          <w:rFonts w:asciiTheme="minorHAnsi" w:hAnsiTheme="minorHAnsi" w:cstheme="minorHAnsi"/>
          <w:color w:val="222222"/>
          <w:sz w:val="22"/>
          <w:szCs w:val="22"/>
        </w:rPr>
        <w:t>These insights allow</w:t>
      </w:r>
      <w:r w:rsidR="00D37A37" w:rsidRPr="00F57987">
        <w:rPr>
          <w:rFonts w:asciiTheme="minorHAnsi" w:hAnsiTheme="minorHAnsi" w:cstheme="minorHAnsi"/>
          <w:color w:val="222222"/>
          <w:sz w:val="22"/>
          <w:szCs w:val="22"/>
        </w:rPr>
        <w:t xml:space="preserve"> </w:t>
      </w:r>
      <w:r w:rsidR="00531DCD">
        <w:rPr>
          <w:rFonts w:asciiTheme="minorHAnsi" w:hAnsiTheme="minorHAnsi" w:cstheme="minorHAnsi"/>
          <w:color w:val="222222"/>
          <w:sz w:val="22"/>
          <w:szCs w:val="22"/>
        </w:rPr>
        <w:t>us</w:t>
      </w:r>
      <w:r w:rsidR="00D37A37" w:rsidRPr="00F57987">
        <w:rPr>
          <w:rFonts w:asciiTheme="minorHAnsi" w:hAnsiTheme="minorHAnsi" w:cstheme="minorHAnsi"/>
          <w:color w:val="222222"/>
          <w:sz w:val="22"/>
          <w:szCs w:val="22"/>
        </w:rPr>
        <w:t xml:space="preserve"> to:</w:t>
      </w:r>
    </w:p>
    <w:p w14:paraId="666AA38C" w14:textId="62FE9DE2" w:rsidR="002C5A6C" w:rsidRPr="0065455E" w:rsidRDefault="00316380" w:rsidP="00320299">
      <w:pPr>
        <w:pStyle w:val="ListBullet"/>
      </w:pPr>
      <w:r>
        <w:t xml:space="preserve">address </w:t>
      </w:r>
      <w:r w:rsidR="00D37A37" w:rsidRPr="002C5A6C">
        <w:t xml:space="preserve">systemic issues across the industry </w:t>
      </w:r>
      <w:r>
        <w:t>through targeted education and support</w:t>
      </w:r>
    </w:p>
    <w:p w14:paraId="2A1869A0" w14:textId="61F1EC84" w:rsidR="0097000A" w:rsidRPr="0097000A" w:rsidRDefault="006C3EEC" w:rsidP="00320299">
      <w:pPr>
        <w:pStyle w:val="ListBullet"/>
      </w:pPr>
      <w:r>
        <w:t>focus</w:t>
      </w:r>
      <w:r w:rsidR="002C5A6C" w:rsidRPr="002C5A6C">
        <w:t xml:space="preserve"> </w:t>
      </w:r>
      <w:r w:rsidRPr="002C5A6C">
        <w:t xml:space="preserve">future compliance activities </w:t>
      </w:r>
      <w:r>
        <w:t xml:space="preserve">on identified </w:t>
      </w:r>
      <w:r w:rsidR="00D37A37" w:rsidRPr="002C5A6C">
        <w:t>areas of non-complian</w:t>
      </w:r>
      <w:r>
        <w:t>ce.</w:t>
      </w:r>
      <w:r w:rsidR="008272A3" w:rsidRPr="002C5A6C">
        <w:t xml:space="preserve"> </w:t>
      </w:r>
    </w:p>
    <w:p w14:paraId="0CD6E5A7" w14:textId="0925AD12" w:rsidR="00707CC0" w:rsidRDefault="00301C1D" w:rsidP="00320299">
      <w:r>
        <w:rPr>
          <w:noProof/>
        </w:rPr>
        <w:drawing>
          <wp:anchor distT="0" distB="0" distL="114300" distR="114300" simplePos="0" relativeHeight="251663360" behindDoc="0" locked="0" layoutInCell="1" allowOverlap="1" wp14:anchorId="4FCDF9FC" wp14:editId="60E516E8">
            <wp:simplePos x="0" y="0"/>
            <wp:positionH relativeFrom="margin">
              <wp:align>center</wp:align>
            </wp:positionH>
            <wp:positionV relativeFrom="paragraph">
              <wp:posOffset>198755</wp:posOffset>
            </wp:positionV>
            <wp:extent cx="4495165" cy="3533775"/>
            <wp:effectExtent l="0" t="0" r="635" b="9525"/>
            <wp:wrapTopAndBottom/>
            <wp:docPr id="362322081" name="Picture 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2081" name="Picture 4" descr="A diagram of a diagram&#10;&#10;AI-generated content may be incorrect."/>
                    <pic:cNvPicPr/>
                  </pic:nvPicPr>
                  <pic:blipFill rotWithShape="1">
                    <a:blip r:embed="rId36">
                      <a:extLst>
                        <a:ext uri="{28A0092B-C50C-407E-A947-70E740481C1C}">
                          <a14:useLocalDpi xmlns:a14="http://schemas.microsoft.com/office/drawing/2010/main" val="0"/>
                        </a:ext>
                      </a:extLst>
                    </a:blip>
                    <a:srcRect l="17782" t="5022" r="17738" b="4865"/>
                    <a:stretch>
                      <a:fillRect/>
                    </a:stretch>
                  </pic:blipFill>
                  <pic:spPr bwMode="auto">
                    <a:xfrm>
                      <a:off x="0" y="0"/>
                      <a:ext cx="4495165" cy="3533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F61" w:rsidRPr="003F21D8">
        <w:t xml:space="preserve">Diagram </w:t>
      </w:r>
      <w:r w:rsidR="003F21D8" w:rsidRPr="003F21D8">
        <w:t>2</w:t>
      </w:r>
      <w:r w:rsidR="005F7F61">
        <w:t xml:space="preserve"> – Compliance monitoring cycle</w:t>
      </w:r>
    </w:p>
    <w:p w14:paraId="3832383F" w14:textId="77777777" w:rsidR="003E5F27" w:rsidRDefault="003E5F27" w:rsidP="00301C1D">
      <w:pPr>
        <w:rPr>
          <w:rFonts w:ascii="Arial" w:hAnsi="Arial" w:cs="Arial"/>
        </w:rPr>
      </w:pPr>
    </w:p>
    <w:p w14:paraId="719337F7" w14:textId="77777777" w:rsidR="00D37A37" w:rsidRPr="00F57987" w:rsidRDefault="00D37A37" w:rsidP="00D37A37">
      <w:pPr>
        <w:pStyle w:val="Heading2"/>
        <w:spacing w:after="240"/>
      </w:pPr>
      <w:bookmarkStart w:id="12" w:name="_Toc111825249"/>
      <w:bookmarkStart w:id="13" w:name="_Toc218493501"/>
      <w:r w:rsidRPr="00F57987">
        <w:t>5. Intelligence collection and analysis</w:t>
      </w:r>
      <w:bookmarkEnd w:id="12"/>
      <w:bookmarkEnd w:id="13"/>
    </w:p>
    <w:p w14:paraId="37D6E8D4" w14:textId="5382FB31" w:rsidR="00D37A37" w:rsidRDefault="00D37A37" w:rsidP="00D37A37">
      <w:pPr>
        <w:rPr>
          <w:rFonts w:cstheme="minorHAnsi"/>
        </w:rPr>
      </w:pPr>
      <w:r w:rsidRPr="00F57987">
        <w:rPr>
          <w:rFonts w:cstheme="minorHAnsi"/>
        </w:rPr>
        <w:t>The ODC may collect intelligence</w:t>
      </w:r>
      <w:r w:rsidR="00784570">
        <w:rPr>
          <w:rFonts w:cstheme="minorHAnsi"/>
        </w:rPr>
        <w:t xml:space="preserve"> and data</w:t>
      </w:r>
      <w:r w:rsidRPr="00F57987">
        <w:rPr>
          <w:rFonts w:cstheme="minorHAnsi"/>
        </w:rPr>
        <w:t xml:space="preserve"> from relevant Commonwealth, </w:t>
      </w:r>
      <w:r w:rsidR="0047389F">
        <w:rPr>
          <w:rFonts w:cstheme="minorHAnsi"/>
        </w:rPr>
        <w:t>s</w:t>
      </w:r>
      <w:r w:rsidR="00966449">
        <w:rPr>
          <w:rFonts w:cstheme="minorHAnsi"/>
        </w:rPr>
        <w:t>t</w:t>
      </w:r>
      <w:r w:rsidRPr="00F57987">
        <w:rPr>
          <w:rFonts w:cstheme="minorHAnsi"/>
        </w:rPr>
        <w:t xml:space="preserve">ate or </w:t>
      </w:r>
      <w:r w:rsidR="0047389F">
        <w:rPr>
          <w:rFonts w:cstheme="minorHAnsi"/>
        </w:rPr>
        <w:t>t</w:t>
      </w:r>
      <w:r w:rsidRPr="00F57987">
        <w:rPr>
          <w:rFonts w:cstheme="minorHAnsi"/>
        </w:rPr>
        <w:t xml:space="preserve">erritory agencies in accordance with the </w:t>
      </w:r>
      <w:r w:rsidR="00F452D0">
        <w:rPr>
          <w:rFonts w:cstheme="minorHAnsi"/>
        </w:rPr>
        <w:t xml:space="preserve">Narcotic Drugs </w:t>
      </w:r>
      <w:r w:rsidRPr="00F57987">
        <w:rPr>
          <w:rFonts w:cstheme="minorHAnsi"/>
        </w:rPr>
        <w:t xml:space="preserve">Act and other applicable legislation. This allows </w:t>
      </w:r>
      <w:r w:rsidR="001D4EFD">
        <w:rPr>
          <w:rFonts w:cstheme="minorHAnsi"/>
          <w:color w:val="202122"/>
          <w:shd w:val="clear" w:color="auto" w:fill="FFFFFF"/>
        </w:rPr>
        <w:t>the ODC</w:t>
      </w:r>
      <w:r w:rsidR="001D4EFD" w:rsidRPr="00F57987">
        <w:rPr>
          <w:rFonts w:cstheme="minorHAnsi"/>
          <w:color w:val="202122"/>
          <w:shd w:val="clear" w:color="auto" w:fill="FFFFFF"/>
        </w:rPr>
        <w:t xml:space="preserve"> </w:t>
      </w:r>
      <w:r w:rsidR="00B34959">
        <w:rPr>
          <w:rFonts w:cstheme="minorHAnsi"/>
          <w:color w:val="202122"/>
          <w:shd w:val="clear" w:color="auto" w:fill="FFFFFF"/>
        </w:rPr>
        <w:t xml:space="preserve">to </w:t>
      </w:r>
      <w:r w:rsidR="00B0520F">
        <w:rPr>
          <w:rFonts w:cstheme="minorHAnsi"/>
        </w:rPr>
        <w:t>have</w:t>
      </w:r>
      <w:r w:rsidRPr="00F57987">
        <w:rPr>
          <w:rFonts w:cstheme="minorHAnsi"/>
        </w:rPr>
        <w:t xml:space="preserve"> sufficient information to exercise </w:t>
      </w:r>
      <w:r w:rsidR="00B0520F">
        <w:rPr>
          <w:rFonts w:cstheme="minorHAnsi"/>
        </w:rPr>
        <w:t>our</w:t>
      </w:r>
      <w:r w:rsidR="00B0520F" w:rsidRPr="00F57987">
        <w:rPr>
          <w:rFonts w:cstheme="minorHAnsi"/>
        </w:rPr>
        <w:t xml:space="preserve"> </w:t>
      </w:r>
      <w:r w:rsidRPr="00F57987">
        <w:rPr>
          <w:rFonts w:cstheme="minorHAnsi"/>
        </w:rPr>
        <w:t xml:space="preserve">regulatory functions and may include cross matching the information received from the other agencies. </w:t>
      </w:r>
    </w:p>
    <w:p w14:paraId="17207A3C" w14:textId="77777777" w:rsidR="007E296D" w:rsidRPr="007677CB" w:rsidRDefault="007E296D" w:rsidP="007E296D">
      <w:pPr>
        <w:pStyle w:val="Heading3"/>
      </w:pPr>
      <w:bookmarkStart w:id="14" w:name="_Toc218493502"/>
      <w:r w:rsidRPr="007677CB">
        <w:lastRenderedPageBreak/>
        <w:t>Inspection trends</w:t>
      </w:r>
      <w:bookmarkEnd w:id="14"/>
    </w:p>
    <w:p w14:paraId="53FDFACE" w14:textId="636BA367" w:rsidR="007E296D" w:rsidRPr="007677CB" w:rsidRDefault="007E296D" w:rsidP="00320299">
      <w:r w:rsidRPr="007677CB">
        <w:t xml:space="preserve">The ODC will assess the outcomes of compliance activities to determine whether there are issues or themes relating to non-compliance. This information will inform compliance risk assessments and </w:t>
      </w:r>
      <w:r w:rsidR="00354627">
        <w:t>help target</w:t>
      </w:r>
      <w:r w:rsidRPr="007677CB">
        <w:t xml:space="preserve"> compliance and monitoring effort</w:t>
      </w:r>
      <w:r w:rsidR="00354627">
        <w:t>s</w:t>
      </w:r>
      <w:r w:rsidRPr="007677CB">
        <w:t xml:space="preserve">. </w:t>
      </w:r>
      <w:r w:rsidR="00354627">
        <w:t>By tracking common risk areas, t</w:t>
      </w:r>
      <w:r w:rsidRPr="007677CB">
        <w:t xml:space="preserve">he ODC </w:t>
      </w:r>
      <w:r w:rsidR="00354627">
        <w:t>can build trend profiles to</w:t>
      </w:r>
      <w:r w:rsidRPr="007677CB">
        <w:t xml:space="preserve"> guide </w:t>
      </w:r>
      <w:r w:rsidR="00354627">
        <w:t>it</w:t>
      </w:r>
      <w:r w:rsidRPr="007677CB">
        <w:t xml:space="preserve">s regulatory approach </w:t>
      </w:r>
      <w:r w:rsidR="00354627">
        <w:t>and inform future</w:t>
      </w:r>
      <w:r w:rsidR="00354627" w:rsidRPr="007677CB">
        <w:t xml:space="preserve"> </w:t>
      </w:r>
      <w:r w:rsidRPr="007677CB">
        <w:t>compliance monitoring activities and campaigns.</w:t>
      </w:r>
    </w:p>
    <w:p w14:paraId="4AAEEEA6" w14:textId="77777777" w:rsidR="00D37A37" w:rsidRPr="00F57987" w:rsidRDefault="00D37A37" w:rsidP="005A739F">
      <w:pPr>
        <w:pStyle w:val="Heading3"/>
      </w:pPr>
      <w:bookmarkStart w:id="15" w:name="_Toc218493503"/>
      <w:r w:rsidRPr="00F57987">
        <w:t>Public media alerts</w:t>
      </w:r>
      <w:bookmarkEnd w:id="15"/>
    </w:p>
    <w:p w14:paraId="340623C8" w14:textId="45EA7A0E" w:rsidR="00D37A37" w:rsidRPr="00F57987" w:rsidRDefault="00D37A37" w:rsidP="00D37A37">
      <w:pPr>
        <w:shd w:val="clear" w:color="auto" w:fill="FFFFFF"/>
        <w:rPr>
          <w:rFonts w:cstheme="minorHAnsi"/>
          <w:color w:val="222222"/>
        </w:rPr>
      </w:pPr>
      <w:r w:rsidRPr="00F57987">
        <w:rPr>
          <w:rFonts w:cstheme="minorHAnsi"/>
          <w:color w:val="222222"/>
        </w:rPr>
        <w:t xml:space="preserve">The ODC regularly </w:t>
      </w:r>
      <w:r w:rsidR="00593DC1">
        <w:rPr>
          <w:rFonts w:cstheme="minorHAnsi"/>
          <w:color w:val="222222"/>
        </w:rPr>
        <w:t>monitors</w:t>
      </w:r>
      <w:r w:rsidR="00593DC1" w:rsidRPr="00F57987">
        <w:rPr>
          <w:rFonts w:cstheme="minorHAnsi"/>
          <w:color w:val="222222"/>
        </w:rPr>
        <w:t xml:space="preserve"> </w:t>
      </w:r>
      <w:r w:rsidRPr="00F57987">
        <w:rPr>
          <w:rFonts w:cstheme="minorHAnsi"/>
          <w:color w:val="222222"/>
        </w:rPr>
        <w:t>publicly available information</w:t>
      </w:r>
      <w:r w:rsidR="00593DC1">
        <w:rPr>
          <w:rFonts w:cstheme="minorHAnsi"/>
          <w:color w:val="222222"/>
        </w:rPr>
        <w:t>,</w:t>
      </w:r>
      <w:r w:rsidRPr="00F57987">
        <w:rPr>
          <w:rFonts w:cstheme="minorHAnsi"/>
          <w:color w:val="222222"/>
        </w:rPr>
        <w:t xml:space="preserve"> including media articles, particularly where </w:t>
      </w:r>
      <w:r w:rsidR="00593DC1">
        <w:rPr>
          <w:rFonts w:cstheme="minorHAnsi"/>
          <w:color w:val="222222"/>
        </w:rPr>
        <w:t xml:space="preserve">potential </w:t>
      </w:r>
      <w:r w:rsidR="00966449">
        <w:rPr>
          <w:rFonts w:cstheme="minorHAnsi"/>
          <w:color w:val="222222"/>
        </w:rPr>
        <w:t xml:space="preserve">risks </w:t>
      </w:r>
      <w:r w:rsidRPr="00F57987">
        <w:rPr>
          <w:rFonts w:cstheme="minorHAnsi"/>
          <w:color w:val="222222"/>
        </w:rPr>
        <w:t xml:space="preserve">are identified. </w:t>
      </w:r>
      <w:r w:rsidR="00E063FC">
        <w:rPr>
          <w:rFonts w:cstheme="minorHAnsi"/>
          <w:color w:val="202122"/>
          <w:shd w:val="clear" w:color="auto" w:fill="FFFFFF"/>
        </w:rPr>
        <w:t>T</w:t>
      </w:r>
      <w:r w:rsidR="00B34959">
        <w:rPr>
          <w:rFonts w:cstheme="minorHAnsi"/>
          <w:color w:val="202122"/>
          <w:shd w:val="clear" w:color="auto" w:fill="FFFFFF"/>
        </w:rPr>
        <w:t>he ODC</w:t>
      </w:r>
      <w:r w:rsidR="00B34959" w:rsidRPr="00F57987">
        <w:rPr>
          <w:rFonts w:cstheme="minorHAnsi"/>
          <w:color w:val="202122"/>
          <w:shd w:val="clear" w:color="auto" w:fill="FFFFFF"/>
        </w:rPr>
        <w:t xml:space="preserve"> </w:t>
      </w:r>
      <w:r w:rsidR="00B0520F">
        <w:rPr>
          <w:rFonts w:cstheme="minorHAnsi"/>
          <w:color w:val="222222"/>
        </w:rPr>
        <w:t>also undertake</w:t>
      </w:r>
      <w:r w:rsidR="00B34959">
        <w:rPr>
          <w:rFonts w:cstheme="minorHAnsi"/>
          <w:color w:val="222222"/>
        </w:rPr>
        <w:t>s</w:t>
      </w:r>
      <w:r w:rsidRPr="00F57987">
        <w:rPr>
          <w:rFonts w:cstheme="minorHAnsi"/>
          <w:color w:val="222222"/>
        </w:rPr>
        <w:t xml:space="preserve"> checks to verify allegations where there is a</w:t>
      </w:r>
      <w:r w:rsidR="003E7EB6">
        <w:rPr>
          <w:rFonts w:cstheme="minorHAnsi"/>
          <w:color w:val="222222"/>
        </w:rPr>
        <w:t>n</w:t>
      </w:r>
      <w:r w:rsidRPr="00F57987">
        <w:rPr>
          <w:rFonts w:cstheme="minorHAnsi"/>
          <w:color w:val="222222"/>
        </w:rPr>
        <w:t xml:space="preserve"> </w:t>
      </w:r>
      <w:r w:rsidR="003E7EB6">
        <w:rPr>
          <w:rFonts w:cstheme="minorHAnsi"/>
          <w:color w:val="222222"/>
        </w:rPr>
        <w:t>indication</w:t>
      </w:r>
      <w:r w:rsidR="003E7EB6" w:rsidRPr="00F57987">
        <w:rPr>
          <w:rFonts w:cstheme="minorHAnsi"/>
          <w:color w:val="222222"/>
        </w:rPr>
        <w:t xml:space="preserve"> </w:t>
      </w:r>
      <w:r w:rsidRPr="00F57987">
        <w:rPr>
          <w:rFonts w:cstheme="minorHAnsi"/>
          <w:color w:val="222222"/>
        </w:rPr>
        <w:t xml:space="preserve">of </w:t>
      </w:r>
      <w:r w:rsidR="003E7EB6">
        <w:rPr>
          <w:rFonts w:cstheme="minorHAnsi"/>
          <w:color w:val="222222"/>
        </w:rPr>
        <w:t xml:space="preserve">a </w:t>
      </w:r>
      <w:r w:rsidRPr="00F57987">
        <w:rPr>
          <w:rFonts w:cstheme="minorHAnsi"/>
          <w:color w:val="222222"/>
        </w:rPr>
        <w:t>breach of the</w:t>
      </w:r>
      <w:r w:rsidR="00966449">
        <w:rPr>
          <w:rFonts w:cstheme="minorHAnsi"/>
          <w:color w:val="222222"/>
        </w:rPr>
        <w:t xml:space="preserve"> </w:t>
      </w:r>
      <w:r w:rsidR="00966449" w:rsidRPr="0064170A">
        <w:rPr>
          <w:rFonts w:cstheme="minorHAnsi"/>
          <w:color w:val="222222"/>
        </w:rPr>
        <w:t>relevant</w:t>
      </w:r>
      <w:r w:rsidRPr="0064170A">
        <w:rPr>
          <w:rFonts w:cstheme="minorHAnsi"/>
          <w:color w:val="222222"/>
        </w:rPr>
        <w:t xml:space="preserve"> </w:t>
      </w:r>
      <w:r w:rsidR="00A02522">
        <w:rPr>
          <w:rFonts w:cstheme="minorHAnsi"/>
          <w:color w:val="222222"/>
        </w:rPr>
        <w:t xml:space="preserve">legislation </w:t>
      </w:r>
      <w:r w:rsidR="00B34959">
        <w:rPr>
          <w:rFonts w:cstheme="minorHAnsi"/>
          <w:color w:val="202122"/>
          <w:shd w:val="clear" w:color="auto" w:fill="FFFFFF"/>
        </w:rPr>
        <w:t>the ODC</w:t>
      </w:r>
      <w:r w:rsidR="00B34959" w:rsidRPr="00F57987">
        <w:rPr>
          <w:rFonts w:cstheme="minorHAnsi"/>
          <w:color w:val="202122"/>
          <w:shd w:val="clear" w:color="auto" w:fill="FFFFFF"/>
        </w:rPr>
        <w:t xml:space="preserve"> </w:t>
      </w:r>
      <w:r w:rsidR="00A02522">
        <w:rPr>
          <w:rFonts w:cstheme="minorHAnsi"/>
          <w:color w:val="222222"/>
        </w:rPr>
        <w:t>administer</w:t>
      </w:r>
      <w:r w:rsidR="00B34959">
        <w:rPr>
          <w:rFonts w:cstheme="minorHAnsi"/>
          <w:color w:val="222222"/>
        </w:rPr>
        <w:t>s</w:t>
      </w:r>
      <w:r w:rsidRPr="006E2C5F">
        <w:rPr>
          <w:rFonts w:cstheme="minorHAnsi"/>
          <w:color w:val="222222"/>
        </w:rPr>
        <w:t>.</w:t>
      </w:r>
      <w:r w:rsidRPr="00F57987">
        <w:rPr>
          <w:rFonts w:cstheme="minorHAnsi"/>
          <w:color w:val="222222"/>
        </w:rPr>
        <w:t xml:space="preserve"> </w:t>
      </w:r>
    </w:p>
    <w:p w14:paraId="6A978273" w14:textId="77777777" w:rsidR="00D37A37" w:rsidRPr="00F57987" w:rsidRDefault="00D37A37" w:rsidP="005A739F">
      <w:pPr>
        <w:pStyle w:val="Heading3"/>
      </w:pPr>
      <w:bookmarkStart w:id="16" w:name="_Toc218493504"/>
      <w:r w:rsidRPr="00F57987">
        <w:t>Notifications</w:t>
      </w:r>
      <w:bookmarkEnd w:id="16"/>
    </w:p>
    <w:p w14:paraId="51746AF7" w14:textId="3C5AF532" w:rsidR="00D37A37" w:rsidRPr="00F57987" w:rsidRDefault="00D37A37" w:rsidP="003E5F27">
      <w:pPr>
        <w:widowControl w:val="0"/>
        <w:shd w:val="clear" w:color="auto" w:fill="FFFFFF"/>
        <w:spacing w:after="120"/>
        <w:rPr>
          <w:rFonts w:cstheme="minorHAnsi"/>
          <w:color w:val="222222"/>
        </w:rPr>
      </w:pPr>
      <w:r w:rsidRPr="00F57987">
        <w:rPr>
          <w:rFonts w:cstheme="minorHAnsi"/>
          <w:color w:val="222222"/>
        </w:rPr>
        <w:t xml:space="preserve">It is a condition </w:t>
      </w:r>
      <w:r w:rsidR="00B0520F">
        <w:rPr>
          <w:rFonts w:cstheme="minorHAnsi"/>
          <w:color w:val="222222"/>
        </w:rPr>
        <w:t>under the</w:t>
      </w:r>
      <w:r w:rsidR="00CF7801">
        <w:rPr>
          <w:rFonts w:cstheme="minorHAnsi"/>
          <w:color w:val="222222"/>
        </w:rPr>
        <w:t xml:space="preserve"> </w:t>
      </w:r>
      <w:r w:rsidR="00A02522">
        <w:rPr>
          <w:rFonts w:cstheme="minorHAnsi"/>
          <w:color w:val="222222"/>
        </w:rPr>
        <w:t xml:space="preserve">Narcotic Drugs </w:t>
      </w:r>
      <w:r w:rsidR="00CF7801">
        <w:rPr>
          <w:rFonts w:cstheme="minorHAnsi"/>
          <w:color w:val="222222"/>
        </w:rPr>
        <w:t xml:space="preserve">Act </w:t>
      </w:r>
      <w:r w:rsidR="00B0520F">
        <w:rPr>
          <w:rFonts w:cstheme="minorHAnsi"/>
          <w:color w:val="222222"/>
        </w:rPr>
        <w:t xml:space="preserve">that </w:t>
      </w:r>
      <w:r w:rsidR="00CF7801">
        <w:rPr>
          <w:rFonts w:cstheme="minorHAnsi"/>
          <w:color w:val="222222"/>
        </w:rPr>
        <w:t>licence holders</w:t>
      </w:r>
      <w:r w:rsidRPr="00F57987">
        <w:rPr>
          <w:rFonts w:cstheme="minorHAnsi"/>
          <w:color w:val="222222"/>
        </w:rPr>
        <w:t xml:space="preserve"> are required to notify certain matters to the Secretary</w:t>
      </w:r>
      <w:r w:rsidR="001A3B0E">
        <w:rPr>
          <w:rFonts w:cstheme="minorHAnsi"/>
          <w:color w:val="222222"/>
        </w:rPr>
        <w:t xml:space="preserve"> of the Department of </w:t>
      </w:r>
      <w:r w:rsidR="008B509B" w:rsidRPr="008B509B">
        <w:rPr>
          <w:rFonts w:cstheme="minorHAnsi"/>
          <w:color w:val="222222"/>
        </w:rPr>
        <w:t>Health, Disability and Ageing</w:t>
      </w:r>
      <w:r w:rsidRPr="00F57987">
        <w:rPr>
          <w:rFonts w:cstheme="minorHAnsi"/>
          <w:color w:val="222222"/>
        </w:rPr>
        <w:t>; failure to do so is a breach of the relevant licence. Upon receipt of the notification, the ODC will triage the incident and assess the regulatory response which may include</w:t>
      </w:r>
      <w:r w:rsidR="00CF7801">
        <w:rPr>
          <w:rFonts w:cstheme="minorHAnsi"/>
          <w:color w:val="222222"/>
        </w:rPr>
        <w:t xml:space="preserve">, but </w:t>
      </w:r>
      <w:r w:rsidR="00D14087">
        <w:rPr>
          <w:rFonts w:cstheme="minorHAnsi"/>
          <w:color w:val="222222"/>
        </w:rPr>
        <w:t xml:space="preserve">is </w:t>
      </w:r>
      <w:r w:rsidR="00CF7801">
        <w:rPr>
          <w:rFonts w:cstheme="minorHAnsi"/>
          <w:color w:val="222222"/>
        </w:rPr>
        <w:t>not limited to</w:t>
      </w:r>
      <w:r w:rsidRPr="00F57987">
        <w:rPr>
          <w:rFonts w:cstheme="minorHAnsi"/>
          <w:color w:val="222222"/>
        </w:rPr>
        <w:t>:</w:t>
      </w:r>
    </w:p>
    <w:p w14:paraId="5CAF37EC" w14:textId="637B68A4" w:rsidR="00377A2B" w:rsidRDefault="00D37A37" w:rsidP="00320299">
      <w:pPr>
        <w:pStyle w:val="ListBullet"/>
      </w:pPr>
      <w:r w:rsidRPr="0065455E">
        <w:t>requiring an application to vary a licence (e.g. change of directors</w:t>
      </w:r>
      <w:r w:rsidR="001D4EFD">
        <w:t>,</w:t>
      </w:r>
      <w:r w:rsidR="00377A2B">
        <w:t xml:space="preserve"> security</w:t>
      </w:r>
      <w:r w:rsidR="001D4EFD">
        <w:t xml:space="preserve"> procedures or variations to site and floor plans)</w:t>
      </w:r>
      <w:r w:rsidR="007677CB">
        <w:t xml:space="preserve"> </w:t>
      </w:r>
    </w:p>
    <w:p w14:paraId="7A3862DD" w14:textId="75079323" w:rsidR="00D37A37" w:rsidRPr="00377A2B" w:rsidRDefault="00A47C7D" w:rsidP="00320299">
      <w:pPr>
        <w:pStyle w:val="ListBullet"/>
      </w:pPr>
      <w:r>
        <w:t>s</w:t>
      </w:r>
      <w:r w:rsidR="00377A2B">
        <w:t>urrender of licence</w:t>
      </w:r>
      <w:r w:rsidR="00D37A37" w:rsidRPr="00377A2B">
        <w:t xml:space="preserve"> </w:t>
      </w:r>
    </w:p>
    <w:p w14:paraId="6035B005" w14:textId="3EA49702" w:rsidR="00D37A37" w:rsidRPr="0065455E" w:rsidRDefault="00A47C7D" w:rsidP="00320299">
      <w:pPr>
        <w:pStyle w:val="ListBullet"/>
      </w:pPr>
      <w:r>
        <w:t>f</w:t>
      </w:r>
      <w:r w:rsidR="007677CB">
        <w:t>urther i</w:t>
      </w:r>
      <w:r w:rsidR="00377A2B">
        <w:t xml:space="preserve">nvestigations </w:t>
      </w:r>
      <w:r w:rsidR="007677CB">
        <w:t>(t</w:t>
      </w:r>
      <w:r w:rsidR="00377A2B">
        <w:t>heft</w:t>
      </w:r>
      <w:r w:rsidR="007677CB">
        <w:t xml:space="preserve"> or diversion)</w:t>
      </w:r>
      <w:r w:rsidR="00377A2B">
        <w:t xml:space="preserve"> </w:t>
      </w:r>
    </w:p>
    <w:p w14:paraId="11B8F54F" w14:textId="4B41F3C7" w:rsidR="00377A2B" w:rsidRDefault="00A47C7D" w:rsidP="00320299">
      <w:pPr>
        <w:pStyle w:val="ListBullet"/>
      </w:pPr>
      <w:r>
        <w:t>r</w:t>
      </w:r>
      <w:r w:rsidR="00EE4A69">
        <w:t>eviewing s</w:t>
      </w:r>
      <w:r w:rsidR="00377A2B">
        <w:t>upply pathways</w:t>
      </w:r>
      <w:r w:rsidR="00A02522">
        <w:t>.</w:t>
      </w:r>
    </w:p>
    <w:p w14:paraId="6923C788" w14:textId="7BBF18DF" w:rsidR="00D37A37" w:rsidRPr="00F57987" w:rsidRDefault="006A0758" w:rsidP="005A739F">
      <w:pPr>
        <w:pStyle w:val="Heading3"/>
      </w:pPr>
      <w:bookmarkStart w:id="17" w:name="_Toc218493505"/>
      <w:r>
        <w:t>Tip-Offs</w:t>
      </w:r>
      <w:r w:rsidR="00946F7E">
        <w:t xml:space="preserve"> and </w:t>
      </w:r>
      <w:r w:rsidR="00320299">
        <w:t>c</w:t>
      </w:r>
      <w:r w:rsidR="00946F7E">
        <w:t>omplaints</w:t>
      </w:r>
      <w:bookmarkEnd w:id="17"/>
    </w:p>
    <w:p w14:paraId="56D2D1B4" w14:textId="75013745" w:rsidR="00D37A37" w:rsidRPr="0096519D" w:rsidRDefault="00D37A37" w:rsidP="00D37A37">
      <w:pPr>
        <w:rPr>
          <w:rFonts w:cstheme="minorHAnsi"/>
        </w:rPr>
      </w:pPr>
      <w:r w:rsidRPr="0096519D">
        <w:rPr>
          <w:rFonts w:cstheme="minorHAnsi"/>
        </w:rPr>
        <w:t xml:space="preserve">The ODC receives </w:t>
      </w:r>
      <w:r w:rsidR="00841E5E">
        <w:rPr>
          <w:rFonts w:cstheme="minorHAnsi"/>
        </w:rPr>
        <w:t>t</w:t>
      </w:r>
      <w:r w:rsidR="006A0758" w:rsidRPr="0096519D">
        <w:rPr>
          <w:rFonts w:cstheme="minorHAnsi"/>
        </w:rPr>
        <w:t xml:space="preserve">ip-offs </w:t>
      </w:r>
      <w:r w:rsidR="007E296D">
        <w:rPr>
          <w:rFonts w:cstheme="minorHAnsi"/>
        </w:rPr>
        <w:t xml:space="preserve">and complaints </w:t>
      </w:r>
      <w:r w:rsidRPr="0096519D">
        <w:rPr>
          <w:rFonts w:cstheme="minorHAnsi"/>
        </w:rPr>
        <w:t>from the public</w:t>
      </w:r>
      <w:r w:rsidR="007E296D">
        <w:rPr>
          <w:rFonts w:cstheme="minorHAnsi"/>
        </w:rPr>
        <w:t>,</w:t>
      </w:r>
      <w:r w:rsidRPr="0096519D">
        <w:rPr>
          <w:rFonts w:cstheme="minorHAnsi"/>
        </w:rPr>
        <w:t xml:space="preserve"> and referrals from other agencies relating to suspected non-compliance. The referral may include preliminary information to support any allegations. These can be provided to the ODC via the following channels:</w:t>
      </w:r>
    </w:p>
    <w:p w14:paraId="70C3D728" w14:textId="5E588D79" w:rsidR="00D37A37" w:rsidRPr="0096519D" w:rsidRDefault="00D37A37" w:rsidP="00320299">
      <w:pPr>
        <w:pStyle w:val="ListBullet"/>
        <w:rPr>
          <w:rFonts w:cstheme="minorHAnsi"/>
        </w:rPr>
      </w:pPr>
      <w:r w:rsidRPr="0096519D">
        <w:rPr>
          <w:rFonts w:cstheme="minorHAnsi"/>
        </w:rPr>
        <w:t>Email</w:t>
      </w:r>
      <w:r w:rsidR="00675B5C" w:rsidRPr="0096519D">
        <w:rPr>
          <w:rFonts w:cstheme="minorHAnsi"/>
        </w:rPr>
        <w:t>:</w:t>
      </w:r>
      <w:r w:rsidRPr="0096519D">
        <w:rPr>
          <w:rFonts w:cstheme="minorHAnsi"/>
        </w:rPr>
        <w:t xml:space="preserve"> </w:t>
      </w:r>
      <w:hyperlink r:id="rId37" w:history="1">
        <w:r w:rsidRPr="0096519D">
          <w:rPr>
            <w:rStyle w:val="Hyperlink"/>
            <w:rFonts w:cstheme="minorHAnsi"/>
          </w:rPr>
          <w:t>odc.compliance@health.gov.au</w:t>
        </w:r>
      </w:hyperlink>
      <w:r w:rsidRPr="0096519D">
        <w:rPr>
          <w:rFonts w:cstheme="minorHAnsi"/>
        </w:rPr>
        <w:t xml:space="preserve"> </w:t>
      </w:r>
    </w:p>
    <w:p w14:paraId="50588479" w14:textId="0D26770B" w:rsidR="00F57987" w:rsidRPr="0096519D" w:rsidRDefault="009371EB" w:rsidP="00320299">
      <w:pPr>
        <w:pStyle w:val="ListBullet"/>
        <w:rPr>
          <w:rFonts w:cstheme="minorHAnsi"/>
        </w:rPr>
      </w:pPr>
      <w:r>
        <w:rPr>
          <w:rFonts w:cstheme="minorHAnsi"/>
        </w:rPr>
        <w:t xml:space="preserve">Office of Drug Control </w:t>
      </w:r>
      <w:hyperlink r:id="rId38" w:history="1">
        <w:r w:rsidR="00A0245B">
          <w:rPr>
            <w:rStyle w:val="Hyperlink"/>
            <w:rFonts w:cstheme="minorHAnsi"/>
          </w:rPr>
          <w:t>Tip-off form</w:t>
        </w:r>
      </w:hyperlink>
      <w:r w:rsidR="00A0245B">
        <w:rPr>
          <w:rFonts w:cstheme="minorHAnsi"/>
        </w:rPr>
        <w:t xml:space="preserve"> via website</w:t>
      </w:r>
      <w:r w:rsidR="00065B00">
        <w:rPr>
          <w:rFonts w:cstheme="minorHAnsi"/>
        </w:rPr>
        <w:t>.</w:t>
      </w:r>
    </w:p>
    <w:p w14:paraId="7C2EE2B6" w14:textId="2C04DB40" w:rsidR="00E7458D" w:rsidRPr="00DE7790" w:rsidRDefault="00E7458D" w:rsidP="00E7458D">
      <w:pPr>
        <w:rPr>
          <w:rFonts w:cstheme="minorHAnsi"/>
        </w:rPr>
      </w:pPr>
      <w:r w:rsidRPr="00DE7790">
        <w:rPr>
          <w:rFonts w:cstheme="minorHAnsi"/>
        </w:rPr>
        <w:t>When making a tip-off</w:t>
      </w:r>
      <w:r w:rsidR="007E296D">
        <w:rPr>
          <w:rFonts w:cstheme="minorHAnsi"/>
        </w:rPr>
        <w:t xml:space="preserve"> or complaint</w:t>
      </w:r>
      <w:r w:rsidRPr="00DE7790">
        <w:rPr>
          <w:rFonts w:cstheme="minorHAnsi"/>
        </w:rPr>
        <w:t xml:space="preserve">, the more information </w:t>
      </w:r>
      <w:r w:rsidR="00593DC1">
        <w:rPr>
          <w:rFonts w:cstheme="minorHAnsi"/>
        </w:rPr>
        <w:t>provided</w:t>
      </w:r>
      <w:r w:rsidRPr="00DE7790">
        <w:rPr>
          <w:rFonts w:cstheme="minorHAnsi"/>
        </w:rPr>
        <w:t xml:space="preserve">, the better </w:t>
      </w:r>
      <w:r w:rsidR="001D4EFD">
        <w:rPr>
          <w:rFonts w:cstheme="minorHAnsi"/>
        </w:rPr>
        <w:t>the ODC</w:t>
      </w:r>
      <w:r w:rsidRPr="00DE7790">
        <w:rPr>
          <w:rFonts w:cstheme="minorHAnsi"/>
        </w:rPr>
        <w:t xml:space="preserve"> can work to protect honest businesses and the community.</w:t>
      </w:r>
    </w:p>
    <w:p w14:paraId="4EDA5BE2" w14:textId="4924DB47" w:rsidR="00E7458D" w:rsidRPr="00DE7790" w:rsidRDefault="00E7458D" w:rsidP="00E7458D">
      <w:pPr>
        <w:rPr>
          <w:rFonts w:cstheme="minorHAnsi"/>
        </w:rPr>
      </w:pPr>
      <w:r w:rsidRPr="00DE7790">
        <w:rPr>
          <w:rFonts w:cstheme="minorHAnsi"/>
        </w:rPr>
        <w:t xml:space="preserve">If you are </w:t>
      </w:r>
      <w:r w:rsidR="00D14087">
        <w:rPr>
          <w:rFonts w:cstheme="minorHAnsi"/>
        </w:rPr>
        <w:t xml:space="preserve">submitting </w:t>
      </w:r>
      <w:r w:rsidR="00F24C78">
        <w:rPr>
          <w:rFonts w:cstheme="minorHAnsi"/>
        </w:rPr>
        <w:t>a</w:t>
      </w:r>
      <w:r w:rsidR="00946F7E">
        <w:rPr>
          <w:rFonts w:cstheme="minorHAnsi"/>
        </w:rPr>
        <w:t xml:space="preserve"> </w:t>
      </w:r>
      <w:r w:rsidR="007E296D">
        <w:rPr>
          <w:rFonts w:cstheme="minorHAnsi"/>
        </w:rPr>
        <w:t>t</w:t>
      </w:r>
      <w:r w:rsidR="00946F7E">
        <w:rPr>
          <w:rFonts w:cstheme="minorHAnsi"/>
        </w:rPr>
        <w:t xml:space="preserve">ip-off or </w:t>
      </w:r>
      <w:r w:rsidR="00D14087">
        <w:rPr>
          <w:rFonts w:cstheme="minorHAnsi"/>
        </w:rPr>
        <w:t>complaint,</w:t>
      </w:r>
      <w:r w:rsidRPr="00DE7790">
        <w:rPr>
          <w:rFonts w:cstheme="minorHAnsi"/>
        </w:rPr>
        <w:t xml:space="preserve"> useful information includes:</w:t>
      </w:r>
    </w:p>
    <w:p w14:paraId="2A03DE05" w14:textId="47E65166" w:rsidR="00E7458D" w:rsidRPr="00DE7790" w:rsidRDefault="00D14087" w:rsidP="00320299">
      <w:pPr>
        <w:pStyle w:val="ListBullet"/>
      </w:pPr>
      <w:r>
        <w:t xml:space="preserve">the </w:t>
      </w:r>
      <w:r w:rsidR="00E7458D" w:rsidRPr="00DE7790">
        <w:t xml:space="preserve">name of the </w:t>
      </w:r>
      <w:r>
        <w:t xml:space="preserve">individual or </w:t>
      </w:r>
      <w:r w:rsidR="00E7458D" w:rsidRPr="00DE7790">
        <w:t>business</w:t>
      </w:r>
    </w:p>
    <w:p w14:paraId="18794EFE" w14:textId="77777777" w:rsidR="00D14087" w:rsidRPr="00DE7790" w:rsidRDefault="00D14087" w:rsidP="00320299">
      <w:pPr>
        <w:pStyle w:val="ListBullet"/>
      </w:pPr>
      <w:r>
        <w:t xml:space="preserve">the individual’s or </w:t>
      </w:r>
      <w:r w:rsidRPr="00DE7790">
        <w:t>business</w:t>
      </w:r>
      <w:r>
        <w:t>’s</w:t>
      </w:r>
      <w:r w:rsidRPr="00DE7790">
        <w:t xml:space="preserve"> address</w:t>
      </w:r>
    </w:p>
    <w:p w14:paraId="71693563" w14:textId="77777777" w:rsidR="00E7458D" w:rsidRPr="00DE7790" w:rsidRDefault="00E7458D" w:rsidP="00320299">
      <w:pPr>
        <w:pStyle w:val="ListBullet"/>
      </w:pPr>
      <w:r w:rsidRPr="00DE7790">
        <w:t>ABN</w:t>
      </w:r>
    </w:p>
    <w:p w14:paraId="581FE4D5" w14:textId="77777777" w:rsidR="00E7458D" w:rsidRPr="00DE7790" w:rsidRDefault="00E7458D" w:rsidP="00320299">
      <w:pPr>
        <w:pStyle w:val="ListBullet"/>
      </w:pPr>
      <w:r w:rsidRPr="00DE7790">
        <w:t>phone number</w:t>
      </w:r>
    </w:p>
    <w:p w14:paraId="5A9AAE0C" w14:textId="77777777" w:rsidR="00E7458D" w:rsidRPr="00DE7790" w:rsidRDefault="00E7458D" w:rsidP="00320299">
      <w:pPr>
        <w:pStyle w:val="ListBullet"/>
      </w:pPr>
      <w:r w:rsidRPr="00DE7790">
        <w:t>website</w:t>
      </w:r>
    </w:p>
    <w:p w14:paraId="7B13E70F" w14:textId="53BBA77A" w:rsidR="00E7458D" w:rsidRPr="00DE7790" w:rsidRDefault="00E7458D" w:rsidP="00320299">
      <w:pPr>
        <w:pStyle w:val="ListBullet"/>
      </w:pPr>
      <w:r w:rsidRPr="00DE7790">
        <w:t>social media details (for example, page name and profile addresses)</w:t>
      </w:r>
    </w:p>
    <w:p w14:paraId="487D7247" w14:textId="65DBE699" w:rsidR="0065455E" w:rsidRDefault="00DD6E64" w:rsidP="00320299">
      <w:pPr>
        <w:pStyle w:val="ListBullet"/>
      </w:pPr>
      <w:r w:rsidRPr="00DE7790">
        <w:t>details of the behaviour you have identified</w:t>
      </w:r>
    </w:p>
    <w:p w14:paraId="402A6934" w14:textId="6D720AFC" w:rsidR="00841E5E" w:rsidRDefault="00841E5E" w:rsidP="00320299">
      <w:pPr>
        <w:pStyle w:val="ListBullet"/>
      </w:pPr>
      <w:r>
        <w:t>any additional supporting material or evidence you consider relevant</w:t>
      </w:r>
      <w:r w:rsidR="00E063FC">
        <w:t>.</w:t>
      </w:r>
    </w:p>
    <w:p w14:paraId="451CA338" w14:textId="57FFDB2E" w:rsidR="002C5A6C" w:rsidRDefault="00DD6E64" w:rsidP="00D37A37">
      <w:pPr>
        <w:rPr>
          <w:rFonts w:cstheme="minorHAnsi"/>
          <w:shd w:val="clear" w:color="auto" w:fill="FFFFFF"/>
        </w:rPr>
      </w:pPr>
      <w:r w:rsidRPr="00C40F62">
        <w:rPr>
          <w:rFonts w:cstheme="minorHAnsi"/>
          <w:shd w:val="clear" w:color="auto" w:fill="FFFFFF"/>
        </w:rPr>
        <w:lastRenderedPageBreak/>
        <w:t xml:space="preserve">Due to privacy laws, </w:t>
      </w:r>
      <w:r w:rsidR="001D4EFD">
        <w:rPr>
          <w:rFonts w:cstheme="minorHAnsi"/>
          <w:shd w:val="clear" w:color="auto" w:fill="FFFFFF"/>
        </w:rPr>
        <w:t>the ODC</w:t>
      </w:r>
      <w:r w:rsidRPr="00C40F62">
        <w:rPr>
          <w:rFonts w:cstheme="minorHAnsi"/>
          <w:shd w:val="clear" w:color="auto" w:fill="FFFFFF"/>
        </w:rPr>
        <w:t xml:space="preserve"> </w:t>
      </w:r>
      <w:r w:rsidR="00593DC1">
        <w:rPr>
          <w:rFonts w:cstheme="minorHAnsi"/>
          <w:shd w:val="clear" w:color="auto" w:fill="FFFFFF"/>
        </w:rPr>
        <w:t>cannot</w:t>
      </w:r>
      <w:r w:rsidRPr="00C40F62">
        <w:rPr>
          <w:rFonts w:cstheme="minorHAnsi"/>
          <w:shd w:val="clear" w:color="auto" w:fill="FFFFFF"/>
        </w:rPr>
        <w:t xml:space="preserve"> inform you of the outcome of the information you provide</w:t>
      </w:r>
      <w:r w:rsidR="00D14087" w:rsidRPr="00C40F62">
        <w:rPr>
          <w:rFonts w:cstheme="minorHAnsi"/>
          <w:shd w:val="clear" w:color="auto" w:fill="FFFFFF"/>
        </w:rPr>
        <w:t xml:space="preserve">, nor </w:t>
      </w:r>
      <w:r w:rsidR="0049153E">
        <w:rPr>
          <w:rFonts w:cstheme="minorHAnsi"/>
          <w:shd w:val="clear" w:color="auto" w:fill="FFFFFF"/>
        </w:rPr>
        <w:t xml:space="preserve">give you </w:t>
      </w:r>
      <w:r w:rsidR="00D14087" w:rsidRPr="00C40F62">
        <w:rPr>
          <w:rFonts w:cstheme="minorHAnsi"/>
          <w:shd w:val="clear" w:color="auto" w:fill="FFFFFF"/>
        </w:rPr>
        <w:t>updates on the progress of the matter</w:t>
      </w:r>
      <w:r w:rsidRPr="00C40F62">
        <w:rPr>
          <w:rFonts w:cstheme="minorHAnsi"/>
          <w:shd w:val="clear" w:color="auto" w:fill="FFFFFF"/>
        </w:rPr>
        <w:t xml:space="preserve">. </w:t>
      </w:r>
      <w:r w:rsidR="00CF1E9A">
        <w:rPr>
          <w:rFonts w:cstheme="minorHAnsi"/>
          <w:shd w:val="clear" w:color="auto" w:fill="FFFFFF"/>
        </w:rPr>
        <w:t>However,</w:t>
      </w:r>
      <w:r w:rsidRPr="00C40F62">
        <w:rPr>
          <w:rFonts w:cstheme="minorHAnsi"/>
          <w:shd w:val="clear" w:color="auto" w:fill="FFFFFF"/>
        </w:rPr>
        <w:t xml:space="preserve"> </w:t>
      </w:r>
      <w:r w:rsidR="001D4EFD">
        <w:rPr>
          <w:rFonts w:cstheme="minorHAnsi"/>
          <w:shd w:val="clear" w:color="auto" w:fill="FFFFFF"/>
        </w:rPr>
        <w:t xml:space="preserve">the ODC </w:t>
      </w:r>
      <w:r w:rsidRPr="00C40F62">
        <w:rPr>
          <w:rFonts w:cstheme="minorHAnsi"/>
          <w:shd w:val="clear" w:color="auto" w:fill="FFFFFF"/>
        </w:rPr>
        <w:t>take</w:t>
      </w:r>
      <w:r w:rsidR="001D4EFD">
        <w:rPr>
          <w:rFonts w:cstheme="minorHAnsi"/>
          <w:shd w:val="clear" w:color="auto" w:fill="FFFFFF"/>
        </w:rPr>
        <w:t>s</w:t>
      </w:r>
      <w:r w:rsidRPr="00C40F62">
        <w:rPr>
          <w:rFonts w:cstheme="minorHAnsi"/>
          <w:shd w:val="clear" w:color="auto" w:fill="FFFFFF"/>
        </w:rPr>
        <w:t xml:space="preserve"> all information seriously</w:t>
      </w:r>
      <w:r w:rsidR="00ED493D" w:rsidRPr="00C40F62">
        <w:rPr>
          <w:rFonts w:cstheme="minorHAnsi"/>
          <w:shd w:val="clear" w:color="auto" w:fill="FFFFFF"/>
        </w:rPr>
        <w:t xml:space="preserve"> and</w:t>
      </w:r>
      <w:r w:rsidR="00CF1E9A">
        <w:rPr>
          <w:rFonts w:cstheme="minorHAnsi"/>
          <w:shd w:val="clear" w:color="auto" w:fill="FFFFFF"/>
        </w:rPr>
        <w:t xml:space="preserve"> carefully</w:t>
      </w:r>
      <w:r w:rsidR="00ED493D" w:rsidRPr="00C40F62">
        <w:rPr>
          <w:rFonts w:cstheme="minorHAnsi"/>
          <w:shd w:val="clear" w:color="auto" w:fill="FFFFFF"/>
        </w:rPr>
        <w:t xml:space="preserve"> consider</w:t>
      </w:r>
      <w:r w:rsidR="00065B00">
        <w:rPr>
          <w:rFonts w:cstheme="minorHAnsi"/>
          <w:shd w:val="clear" w:color="auto" w:fill="FFFFFF"/>
        </w:rPr>
        <w:t>s</w:t>
      </w:r>
      <w:r w:rsidR="00ED493D" w:rsidRPr="00C40F62">
        <w:rPr>
          <w:rFonts w:cstheme="minorHAnsi"/>
          <w:shd w:val="clear" w:color="auto" w:fill="FFFFFF"/>
        </w:rPr>
        <w:t xml:space="preserve"> all information received</w:t>
      </w:r>
      <w:r w:rsidRPr="00C40F62">
        <w:rPr>
          <w:rFonts w:cstheme="minorHAnsi"/>
          <w:shd w:val="clear" w:color="auto" w:fill="FFFFFF"/>
        </w:rPr>
        <w:t>.</w:t>
      </w:r>
    </w:p>
    <w:p w14:paraId="34FFFE7B" w14:textId="77777777" w:rsidR="00CB1076" w:rsidRPr="00753284" w:rsidRDefault="00CB1076" w:rsidP="00CB1076">
      <w:pPr>
        <w:pStyle w:val="Heading3"/>
      </w:pPr>
      <w:bookmarkStart w:id="18" w:name="_Toc218493506"/>
      <w:r w:rsidRPr="00753284">
        <w:t>Prioritisation</w:t>
      </w:r>
      <w:bookmarkEnd w:id="18"/>
    </w:p>
    <w:p w14:paraId="5BD2775E" w14:textId="78523094" w:rsidR="00CB1076" w:rsidRPr="00CB1076" w:rsidRDefault="00CB1076" w:rsidP="00CB1076">
      <w:pPr>
        <w:rPr>
          <w:rFonts w:cstheme="minorHAnsi"/>
        </w:rPr>
      </w:pPr>
      <w:r w:rsidRPr="00CB1076">
        <w:rPr>
          <w:rFonts w:cstheme="minorHAnsi"/>
        </w:rPr>
        <w:t>Our regulatory actions are both proactive and responsive, including acting upon information and reports of non-compliance from several external sources.</w:t>
      </w:r>
    </w:p>
    <w:p w14:paraId="343A4450" w14:textId="77777777" w:rsidR="00CB1076" w:rsidRPr="00CB1076" w:rsidRDefault="00CB1076" w:rsidP="00CB1076">
      <w:pPr>
        <w:rPr>
          <w:rFonts w:cstheme="minorHAnsi"/>
        </w:rPr>
      </w:pPr>
      <w:r w:rsidRPr="00CB1076">
        <w:rPr>
          <w:rFonts w:cstheme="minorHAnsi"/>
        </w:rPr>
        <w:t>While all instances of alleged non-compliance are recorded and considered, the ODC cannot pursue every matter that comes to our attention. We use a risk-based approach in deciding priorities, taking into consideration:</w:t>
      </w:r>
    </w:p>
    <w:p w14:paraId="3A5B91DF" w14:textId="0FE83713" w:rsidR="00CB1076" w:rsidRPr="00753284" w:rsidRDefault="00CB1076" w:rsidP="00320299">
      <w:pPr>
        <w:pStyle w:val="ListBullet"/>
      </w:pPr>
      <w:r w:rsidRPr="00753284">
        <w:t>the seriousness of any alleged or detected non-compliance</w:t>
      </w:r>
    </w:p>
    <w:p w14:paraId="65F7E58F" w14:textId="5A958C2C" w:rsidR="00CB1076" w:rsidRPr="00753284" w:rsidRDefault="00CB1076" w:rsidP="00320299">
      <w:pPr>
        <w:pStyle w:val="ListBullet"/>
      </w:pPr>
      <w:r w:rsidRPr="00753284">
        <w:t>the risk to the community of harm or injury</w:t>
      </w:r>
    </w:p>
    <w:p w14:paraId="722E9F13" w14:textId="362F5DA2" w:rsidR="00CB1076" w:rsidRPr="00753284" w:rsidRDefault="00CB1076" w:rsidP="00320299">
      <w:pPr>
        <w:pStyle w:val="ListBullet"/>
      </w:pPr>
      <w:r w:rsidRPr="00753284">
        <w:t>the compliance history and behaviour of the regulated person</w:t>
      </w:r>
    </w:p>
    <w:p w14:paraId="01998CF9" w14:textId="5227EE09" w:rsidR="00CB1076" w:rsidRPr="00753284" w:rsidRDefault="00CB1076" w:rsidP="00320299">
      <w:pPr>
        <w:pStyle w:val="ListBullet"/>
      </w:pPr>
      <w:r w:rsidRPr="00753284">
        <w:t>required action prescribed under the Act</w:t>
      </w:r>
    </w:p>
    <w:p w14:paraId="7AC1E3AD" w14:textId="77777777" w:rsidR="00CB1076" w:rsidRPr="00753284" w:rsidRDefault="00CB1076" w:rsidP="00320299">
      <w:pPr>
        <w:pStyle w:val="ListBullet"/>
      </w:pPr>
      <w:r w:rsidRPr="00753284">
        <w:t>trends indicating non-compliance across multiple licence holders or the industry generally.</w:t>
      </w:r>
    </w:p>
    <w:p w14:paraId="3C956D46" w14:textId="45F85EC7" w:rsidR="00D37A37" w:rsidRPr="00C40F62" w:rsidRDefault="00D37A37" w:rsidP="00D37A37">
      <w:pPr>
        <w:pStyle w:val="Heading2"/>
        <w:spacing w:after="240"/>
      </w:pPr>
      <w:bookmarkStart w:id="19" w:name="_Toc111825250"/>
      <w:bookmarkStart w:id="20" w:name="_Toc218493507"/>
      <w:r w:rsidRPr="00C40F62">
        <w:t xml:space="preserve">6. Stakeholder </w:t>
      </w:r>
      <w:r w:rsidR="00320299">
        <w:t>e</w:t>
      </w:r>
      <w:r w:rsidRPr="00C40F62">
        <w:t xml:space="preserve">ngagement and </w:t>
      </w:r>
      <w:r w:rsidR="00320299">
        <w:t>e</w:t>
      </w:r>
      <w:r w:rsidRPr="00C40F62">
        <w:t>ducation</w:t>
      </w:r>
      <w:bookmarkEnd w:id="19"/>
      <w:bookmarkEnd w:id="20"/>
    </w:p>
    <w:p w14:paraId="4B8DD9B7" w14:textId="4C8FDC54" w:rsidR="00D37A37" w:rsidRPr="00C40F62" w:rsidRDefault="00D37A37" w:rsidP="00D37A37">
      <w:pPr>
        <w:rPr>
          <w:rFonts w:cstheme="minorHAnsi"/>
          <w:b/>
          <w:bCs/>
        </w:rPr>
      </w:pPr>
      <w:r w:rsidRPr="00C40F62">
        <w:rPr>
          <w:rFonts w:cstheme="minorHAnsi"/>
        </w:rPr>
        <w:t xml:space="preserve">The ODC </w:t>
      </w:r>
      <w:r w:rsidR="008817F8">
        <w:rPr>
          <w:rFonts w:cstheme="minorHAnsi"/>
        </w:rPr>
        <w:t xml:space="preserve">is committed to providing clear </w:t>
      </w:r>
      <w:r w:rsidRPr="00C40F62">
        <w:rPr>
          <w:rFonts w:cstheme="minorHAnsi"/>
        </w:rPr>
        <w:t xml:space="preserve">guidance to </w:t>
      </w:r>
      <w:r w:rsidR="00CF7801" w:rsidRPr="00C40F62">
        <w:rPr>
          <w:rFonts w:cstheme="minorHAnsi"/>
        </w:rPr>
        <w:t>regulated persons</w:t>
      </w:r>
      <w:r w:rsidRPr="00C40F62">
        <w:rPr>
          <w:rFonts w:cstheme="minorHAnsi"/>
        </w:rPr>
        <w:t xml:space="preserve"> to </w:t>
      </w:r>
      <w:r w:rsidR="008817F8">
        <w:rPr>
          <w:rFonts w:cstheme="minorHAnsi"/>
        </w:rPr>
        <w:t xml:space="preserve">promote </w:t>
      </w:r>
      <w:r w:rsidRPr="00C40F62">
        <w:rPr>
          <w:rFonts w:cstheme="minorHAnsi"/>
        </w:rPr>
        <w:t>transparency and accountability in relation to its monitoring, compliance and enforcement functions and powers</w:t>
      </w:r>
      <w:r w:rsidR="008817F8">
        <w:rPr>
          <w:rFonts w:cstheme="minorHAnsi"/>
        </w:rPr>
        <w:t xml:space="preserve">. This includes </w:t>
      </w:r>
      <w:r w:rsidRPr="00C40F62">
        <w:rPr>
          <w:rFonts w:cstheme="minorHAnsi"/>
        </w:rPr>
        <w:t>explain</w:t>
      </w:r>
      <w:r w:rsidR="008817F8">
        <w:rPr>
          <w:rFonts w:cstheme="minorHAnsi"/>
        </w:rPr>
        <w:t>ing</w:t>
      </w:r>
      <w:r w:rsidRPr="00C40F62">
        <w:rPr>
          <w:rFonts w:cstheme="minorHAnsi"/>
        </w:rPr>
        <w:t xml:space="preserve"> how the ODC </w:t>
      </w:r>
      <w:r w:rsidR="008817F8">
        <w:rPr>
          <w:rFonts w:cstheme="minorHAnsi"/>
        </w:rPr>
        <w:t>exercises</w:t>
      </w:r>
      <w:r w:rsidR="008817F8" w:rsidRPr="00C40F62">
        <w:rPr>
          <w:rFonts w:cstheme="minorHAnsi"/>
        </w:rPr>
        <w:t xml:space="preserve"> </w:t>
      </w:r>
      <w:r w:rsidRPr="00C40F62">
        <w:rPr>
          <w:rFonts w:cstheme="minorHAnsi"/>
        </w:rPr>
        <w:t xml:space="preserve">its </w:t>
      </w:r>
      <w:r w:rsidR="00CF7801" w:rsidRPr="00C40F62">
        <w:rPr>
          <w:rFonts w:cstheme="minorHAnsi"/>
        </w:rPr>
        <w:t xml:space="preserve">regulatory </w:t>
      </w:r>
      <w:r w:rsidRPr="00C40F62">
        <w:rPr>
          <w:rFonts w:cstheme="minorHAnsi"/>
        </w:rPr>
        <w:t xml:space="preserve">powers. </w:t>
      </w:r>
    </w:p>
    <w:p w14:paraId="5D19A75E" w14:textId="7ED94E99" w:rsidR="008817F8" w:rsidRDefault="00D37A37" w:rsidP="00D37A37">
      <w:pPr>
        <w:rPr>
          <w:rFonts w:cstheme="minorHAnsi"/>
        </w:rPr>
      </w:pPr>
      <w:r w:rsidRPr="00C40F62">
        <w:rPr>
          <w:rFonts w:cstheme="minorHAnsi"/>
        </w:rPr>
        <w:t>T</w:t>
      </w:r>
      <w:r w:rsidR="008817F8">
        <w:rPr>
          <w:rFonts w:cstheme="minorHAnsi"/>
        </w:rPr>
        <w:t>o help regulated persons understand their legislative obligations, t</w:t>
      </w:r>
      <w:r w:rsidRPr="00C40F62">
        <w:rPr>
          <w:rFonts w:cstheme="minorHAnsi"/>
        </w:rPr>
        <w:t xml:space="preserve">he ODC may publish </w:t>
      </w:r>
      <w:r w:rsidR="00877354">
        <w:rPr>
          <w:rFonts w:cstheme="minorHAnsi"/>
        </w:rPr>
        <w:t xml:space="preserve">resources </w:t>
      </w:r>
      <w:r w:rsidR="008817F8">
        <w:rPr>
          <w:rFonts w:cstheme="minorHAnsi"/>
        </w:rPr>
        <w:t xml:space="preserve">such as </w:t>
      </w:r>
      <w:r w:rsidRPr="00C40F62">
        <w:rPr>
          <w:rFonts w:cstheme="minorHAnsi"/>
        </w:rPr>
        <w:t xml:space="preserve">fact sheets, case studies or information on </w:t>
      </w:r>
      <w:r w:rsidR="001E43E6" w:rsidRPr="00C40F62">
        <w:rPr>
          <w:rFonts w:cstheme="minorHAnsi"/>
        </w:rPr>
        <w:t xml:space="preserve">our </w:t>
      </w:r>
      <w:r w:rsidRPr="00C40F62">
        <w:rPr>
          <w:rFonts w:cstheme="minorHAnsi"/>
        </w:rPr>
        <w:t xml:space="preserve">website. </w:t>
      </w:r>
    </w:p>
    <w:p w14:paraId="6659A2F5" w14:textId="77777777" w:rsidR="00D37A37" w:rsidRPr="00C40F62" w:rsidRDefault="00D37A37" w:rsidP="005A739F">
      <w:pPr>
        <w:pStyle w:val="Heading3"/>
      </w:pPr>
      <w:bookmarkStart w:id="21" w:name="_Toc218493508"/>
      <w:r w:rsidRPr="00C40F62">
        <w:t>Monitoring and education campaigns</w:t>
      </w:r>
      <w:bookmarkEnd w:id="21"/>
    </w:p>
    <w:p w14:paraId="42E3FFF6" w14:textId="0499BEF4" w:rsidR="00D37A37" w:rsidRPr="004F050A" w:rsidRDefault="00D37A37" w:rsidP="00D37A37">
      <w:pPr>
        <w:rPr>
          <w:rFonts w:ascii="Calibi" w:hAnsi="Calibi" w:cstheme="minorHAnsi"/>
          <w:b/>
          <w:bCs/>
        </w:rPr>
      </w:pPr>
      <w:r w:rsidRPr="00C40F62">
        <w:rPr>
          <w:rFonts w:cstheme="minorHAnsi"/>
        </w:rPr>
        <w:t xml:space="preserve">The ODC carries out targeted campaigns. These campaigns may be informed by trends and issues </w:t>
      </w:r>
      <w:r w:rsidR="004F050A">
        <w:rPr>
          <w:rFonts w:cstheme="minorHAnsi"/>
        </w:rPr>
        <w:t>identified</w:t>
      </w:r>
      <w:r w:rsidR="004F050A" w:rsidRPr="00C40F62">
        <w:rPr>
          <w:rFonts w:cstheme="minorHAnsi"/>
        </w:rPr>
        <w:t xml:space="preserve"> </w:t>
      </w:r>
      <w:r w:rsidR="004F050A">
        <w:rPr>
          <w:rFonts w:cstheme="minorHAnsi"/>
        </w:rPr>
        <w:t>throughout</w:t>
      </w:r>
      <w:r w:rsidRPr="00C40F62">
        <w:rPr>
          <w:rFonts w:cstheme="minorHAnsi"/>
        </w:rPr>
        <w:t xml:space="preserve"> the </w:t>
      </w:r>
      <w:r w:rsidRPr="004F050A">
        <w:rPr>
          <w:rFonts w:cstheme="minorHAnsi"/>
        </w:rPr>
        <w:t>regulatory cycle</w:t>
      </w:r>
      <w:r w:rsidR="004F050A" w:rsidRPr="004F050A">
        <w:rPr>
          <w:rFonts w:cstheme="minorHAnsi"/>
        </w:rPr>
        <w:t xml:space="preserve"> and aim to </w:t>
      </w:r>
      <w:r w:rsidRPr="004F050A">
        <w:rPr>
          <w:rFonts w:cstheme="minorHAnsi"/>
        </w:rPr>
        <w:t xml:space="preserve">inform and educate </w:t>
      </w:r>
      <w:r w:rsidR="00AB1EC9">
        <w:rPr>
          <w:rFonts w:cstheme="minorHAnsi"/>
        </w:rPr>
        <w:t xml:space="preserve">industry </w:t>
      </w:r>
      <w:r w:rsidRPr="004F050A">
        <w:rPr>
          <w:rFonts w:cstheme="minorHAnsi"/>
        </w:rPr>
        <w:t xml:space="preserve">on </w:t>
      </w:r>
      <w:r w:rsidR="00CF7801" w:rsidRPr="004F050A">
        <w:rPr>
          <w:rFonts w:cstheme="minorHAnsi"/>
        </w:rPr>
        <w:t xml:space="preserve">regulatory </w:t>
      </w:r>
      <w:r w:rsidRPr="004F050A">
        <w:rPr>
          <w:rFonts w:cstheme="minorHAnsi"/>
        </w:rPr>
        <w:t>compliance matters</w:t>
      </w:r>
      <w:r w:rsidRPr="00AB1EC9">
        <w:rPr>
          <w:rFonts w:cstheme="minorHAnsi"/>
        </w:rPr>
        <w:t xml:space="preserve"> with the </w:t>
      </w:r>
      <w:r w:rsidR="00DB15E4" w:rsidRPr="00AB1EC9">
        <w:rPr>
          <w:rFonts w:cstheme="minorHAnsi"/>
        </w:rPr>
        <w:t>goal</w:t>
      </w:r>
      <w:r w:rsidRPr="00AB1EC9">
        <w:rPr>
          <w:rFonts w:cstheme="minorHAnsi"/>
        </w:rPr>
        <w:t xml:space="preserve"> </w:t>
      </w:r>
      <w:r w:rsidR="00DB15E4">
        <w:rPr>
          <w:rFonts w:cstheme="minorHAnsi"/>
        </w:rPr>
        <w:t xml:space="preserve">of </w:t>
      </w:r>
      <w:r w:rsidR="004F050A" w:rsidRPr="004F050A">
        <w:rPr>
          <w:rFonts w:cstheme="minorHAnsi"/>
        </w:rPr>
        <w:t>promot</w:t>
      </w:r>
      <w:r w:rsidR="00DB15E4">
        <w:rPr>
          <w:rFonts w:cstheme="minorHAnsi"/>
        </w:rPr>
        <w:t>ing</w:t>
      </w:r>
      <w:r w:rsidR="004F050A" w:rsidRPr="004F050A">
        <w:rPr>
          <w:rFonts w:cstheme="minorHAnsi"/>
        </w:rPr>
        <w:t xml:space="preserve"> </w:t>
      </w:r>
      <w:r w:rsidRPr="00AB1EC9">
        <w:rPr>
          <w:rFonts w:cstheme="minorHAnsi"/>
        </w:rPr>
        <w:t>best practice procedures</w:t>
      </w:r>
      <w:r w:rsidRPr="004F050A">
        <w:rPr>
          <w:rFonts w:ascii="Calibi" w:hAnsi="Calibi" w:cstheme="minorHAnsi"/>
          <w:color w:val="222222"/>
        </w:rPr>
        <w:t>.</w:t>
      </w:r>
      <w:r w:rsidRPr="004F050A">
        <w:rPr>
          <w:rFonts w:ascii="Calibi" w:hAnsi="Calibi" w:cstheme="minorHAnsi"/>
        </w:rPr>
        <w:t xml:space="preserve"> </w:t>
      </w:r>
    </w:p>
    <w:p w14:paraId="3AFE2CBC" w14:textId="77B4E503" w:rsidR="004F050A" w:rsidRPr="004F050A" w:rsidRDefault="00D37A37" w:rsidP="00D37A37">
      <w:pPr>
        <w:rPr>
          <w:rFonts w:cstheme="minorHAnsi"/>
        </w:rPr>
      </w:pPr>
      <w:r w:rsidRPr="004F050A">
        <w:rPr>
          <w:rFonts w:cstheme="minorHAnsi"/>
        </w:rPr>
        <w:t>Monitoring and education campaign</w:t>
      </w:r>
      <w:r w:rsidR="004F050A" w:rsidRPr="004F050A">
        <w:rPr>
          <w:rFonts w:cstheme="minorHAnsi"/>
        </w:rPr>
        <w:t xml:space="preserve"> activities</w:t>
      </w:r>
      <w:r w:rsidRPr="004F050A">
        <w:rPr>
          <w:rFonts w:cstheme="minorHAnsi"/>
        </w:rPr>
        <w:t xml:space="preserve"> may include</w:t>
      </w:r>
      <w:r w:rsidR="004F050A" w:rsidRPr="004F050A">
        <w:rPr>
          <w:rFonts w:cstheme="minorHAnsi"/>
        </w:rPr>
        <w:t>:</w:t>
      </w:r>
    </w:p>
    <w:p w14:paraId="25A8FC93" w14:textId="6204E244" w:rsidR="004F050A" w:rsidRPr="008721E1" w:rsidRDefault="00D37A37" w:rsidP="00320299">
      <w:pPr>
        <w:pStyle w:val="ListBullet"/>
      </w:pPr>
      <w:r w:rsidRPr="008721E1">
        <w:t>onsite</w:t>
      </w:r>
      <w:r w:rsidR="004304FA" w:rsidRPr="008721E1">
        <w:t xml:space="preserve"> or virtual</w:t>
      </w:r>
      <w:r w:rsidRPr="008721E1">
        <w:t xml:space="preserve"> </w:t>
      </w:r>
      <w:r w:rsidR="004304FA" w:rsidRPr="008721E1">
        <w:t>inspections</w:t>
      </w:r>
    </w:p>
    <w:p w14:paraId="07503994" w14:textId="53ADC688" w:rsidR="004F050A" w:rsidRPr="008721E1" w:rsidRDefault="00D37A37" w:rsidP="00320299">
      <w:pPr>
        <w:pStyle w:val="ListBullet"/>
      </w:pPr>
      <w:r w:rsidRPr="008721E1">
        <w:t>presentations</w:t>
      </w:r>
      <w:r w:rsidR="004F050A" w:rsidRPr="008721E1">
        <w:t xml:space="preserve"> and stakeholder meetings</w:t>
      </w:r>
      <w:r w:rsidRPr="008721E1">
        <w:t xml:space="preserve"> </w:t>
      </w:r>
    </w:p>
    <w:p w14:paraId="46FC97E1" w14:textId="75B4D5AD" w:rsidR="004F050A" w:rsidRPr="008721E1" w:rsidRDefault="00D37A37" w:rsidP="00320299">
      <w:pPr>
        <w:pStyle w:val="ListBullet"/>
      </w:pPr>
      <w:r w:rsidRPr="008721E1">
        <w:t>website</w:t>
      </w:r>
      <w:r w:rsidR="004F050A" w:rsidRPr="008721E1">
        <w:t xml:space="preserve"> publications and educational materials</w:t>
      </w:r>
    </w:p>
    <w:p w14:paraId="3FDF660C" w14:textId="4A729B01" w:rsidR="00D37A37" w:rsidRPr="008721E1" w:rsidRDefault="002158FF" w:rsidP="00320299">
      <w:pPr>
        <w:pStyle w:val="ListBullet"/>
      </w:pPr>
      <w:r w:rsidRPr="008721E1">
        <w:t xml:space="preserve">direct feedback to regulated </w:t>
      </w:r>
      <w:r w:rsidR="00C40F62" w:rsidRPr="008721E1">
        <w:t>persons</w:t>
      </w:r>
      <w:r w:rsidR="004F050A" w:rsidRPr="008721E1">
        <w:t>, where appropriate</w:t>
      </w:r>
      <w:r w:rsidR="00B02359">
        <w:t>.</w:t>
      </w:r>
      <w:r w:rsidR="006E2C5F" w:rsidRPr="008721E1">
        <w:t xml:space="preserve"> </w:t>
      </w:r>
    </w:p>
    <w:p w14:paraId="47CBDC36" w14:textId="3BD4ED75" w:rsidR="00D37A37" w:rsidRPr="00F57987" w:rsidRDefault="00D37A37" w:rsidP="00D37A37">
      <w:pPr>
        <w:pStyle w:val="Heading2"/>
        <w:spacing w:after="240"/>
      </w:pPr>
      <w:bookmarkStart w:id="22" w:name="_Toc111825251"/>
      <w:bookmarkStart w:id="23" w:name="_Toc218493509"/>
      <w:r w:rsidRPr="00F57987">
        <w:t xml:space="preserve">7. Compliance </w:t>
      </w:r>
      <w:r w:rsidR="00320299">
        <w:t>i</w:t>
      </w:r>
      <w:r w:rsidRPr="00F57987">
        <w:t>nspections</w:t>
      </w:r>
      <w:bookmarkEnd w:id="22"/>
      <w:bookmarkEnd w:id="23"/>
    </w:p>
    <w:p w14:paraId="38472A88" w14:textId="650033BC" w:rsidR="00EE0AE1" w:rsidRDefault="00EE0AE1" w:rsidP="00EE0AE1">
      <w:pPr>
        <w:spacing w:before="120" w:after="180" w:line="240" w:lineRule="atLeast"/>
        <w:rPr>
          <w:rFonts w:cstheme="minorHAnsi"/>
          <w:szCs w:val="24"/>
        </w:rPr>
      </w:pPr>
      <w:r w:rsidRPr="00DE7790">
        <w:rPr>
          <w:rFonts w:cstheme="minorHAnsi"/>
          <w:szCs w:val="24"/>
        </w:rPr>
        <w:t>The ODC will undertake regular and random property inspections</w:t>
      </w:r>
      <w:r w:rsidR="0094014A">
        <w:rPr>
          <w:rFonts w:cstheme="minorHAnsi"/>
          <w:szCs w:val="24"/>
        </w:rPr>
        <w:t>,</w:t>
      </w:r>
      <w:r w:rsidRPr="00DE7790">
        <w:rPr>
          <w:rFonts w:cstheme="minorHAnsi"/>
          <w:szCs w:val="24"/>
        </w:rPr>
        <w:t xml:space="preserve"> either onsite or virtually</w:t>
      </w:r>
      <w:r w:rsidR="0094014A">
        <w:rPr>
          <w:rFonts w:cstheme="minorHAnsi"/>
          <w:szCs w:val="24"/>
        </w:rPr>
        <w:t>,</w:t>
      </w:r>
      <w:r w:rsidRPr="00DE7790">
        <w:rPr>
          <w:rFonts w:cstheme="minorHAnsi"/>
          <w:szCs w:val="24"/>
        </w:rPr>
        <w:t xml:space="preserve"> to assess compliance with </w:t>
      </w:r>
      <w:r w:rsidR="00F452D0">
        <w:rPr>
          <w:rFonts w:cstheme="minorHAnsi"/>
          <w:szCs w:val="24"/>
        </w:rPr>
        <w:t>relevant legislation</w:t>
      </w:r>
      <w:r w:rsidRPr="00DE7790">
        <w:rPr>
          <w:rFonts w:cstheme="minorHAnsi"/>
          <w:szCs w:val="24"/>
        </w:rPr>
        <w:t xml:space="preserve">. All persons are required to notify the ODC of material changes that are relevant to ongoing compliance with the </w:t>
      </w:r>
      <w:r w:rsidR="00F452D0">
        <w:rPr>
          <w:rFonts w:cstheme="minorHAnsi"/>
          <w:szCs w:val="24"/>
        </w:rPr>
        <w:t xml:space="preserve">Narcotic Drugs </w:t>
      </w:r>
      <w:r w:rsidRPr="00DE7790">
        <w:rPr>
          <w:rFonts w:cstheme="minorHAnsi"/>
          <w:szCs w:val="24"/>
        </w:rPr>
        <w:t>Act and the conditions of the licence.</w:t>
      </w:r>
      <w:r w:rsidRPr="00DE7790">
        <w:rPr>
          <w:rFonts w:ascii="Helvetica" w:hAnsi="Helvetica" w:cs="Helvetica"/>
          <w:sz w:val="20"/>
          <w:szCs w:val="20"/>
          <w:shd w:val="clear" w:color="auto" w:fill="FFFFFF"/>
        </w:rPr>
        <w:t xml:space="preserve"> </w:t>
      </w:r>
      <w:r>
        <w:rPr>
          <w:rFonts w:cstheme="minorHAnsi"/>
          <w:szCs w:val="24"/>
        </w:rPr>
        <w:t>The ODC</w:t>
      </w:r>
      <w:r w:rsidRPr="00DE7790">
        <w:rPr>
          <w:rFonts w:cstheme="minorHAnsi"/>
          <w:szCs w:val="24"/>
        </w:rPr>
        <w:t xml:space="preserve"> expect</w:t>
      </w:r>
      <w:r w:rsidRPr="003F21D8">
        <w:rPr>
          <w:rFonts w:cstheme="minorHAnsi"/>
          <w:iCs/>
          <w:szCs w:val="24"/>
        </w:rPr>
        <w:t>s</w:t>
      </w:r>
      <w:r w:rsidRPr="00DE7790">
        <w:rPr>
          <w:rFonts w:cstheme="minorHAnsi"/>
          <w:szCs w:val="24"/>
        </w:rPr>
        <w:t xml:space="preserve"> industry to have systems in place to undertake internal auditing and ensure compliance with the licence conditions and legislation.</w:t>
      </w:r>
    </w:p>
    <w:p w14:paraId="3B5EC7A4" w14:textId="43F9DD1E" w:rsidR="006D3C7E" w:rsidRDefault="00EE4A69">
      <w:r>
        <w:t xml:space="preserve">Inspections may include </w:t>
      </w:r>
      <w:r w:rsidR="00C35694">
        <w:t xml:space="preserve">a </w:t>
      </w:r>
      <w:r>
        <w:t>review of documentation</w:t>
      </w:r>
      <w:r w:rsidR="00EE0AE1">
        <w:t xml:space="preserve"> and records</w:t>
      </w:r>
      <w:r>
        <w:t xml:space="preserve">, permit conditions, and compliance with medicinal cannabis licensing requirements. </w:t>
      </w:r>
      <w:r w:rsidR="00FA1E04">
        <w:t xml:space="preserve">Inspections </w:t>
      </w:r>
      <w:r w:rsidR="00017464">
        <w:t>may</w:t>
      </w:r>
      <w:r w:rsidR="00FA1E04">
        <w:t xml:space="preserve"> include the use of</w:t>
      </w:r>
      <w:r w:rsidR="00017464">
        <w:t xml:space="preserve"> photographic</w:t>
      </w:r>
      <w:r w:rsidR="00FA1E04">
        <w:t xml:space="preserve">, </w:t>
      </w:r>
      <w:r w:rsidR="00017464">
        <w:lastRenderedPageBreak/>
        <w:t>video</w:t>
      </w:r>
      <w:r w:rsidR="00FA1E04">
        <w:t xml:space="preserve"> and drone</w:t>
      </w:r>
      <w:r w:rsidR="00017464">
        <w:t xml:space="preserve"> </w:t>
      </w:r>
      <w:r w:rsidR="00FA1E04">
        <w:t>imagery, and sampling of material.</w:t>
      </w:r>
      <w:r w:rsidR="00017464">
        <w:t xml:space="preserve"> </w:t>
      </w:r>
      <w:r>
        <w:t>The ODC expects regulated persons to maintain internal systems that support timely and accurate reporting of changes and variations.</w:t>
      </w:r>
    </w:p>
    <w:p w14:paraId="72CBE6BF" w14:textId="7794939D" w:rsidR="00D37A37" w:rsidRPr="00F57987" w:rsidRDefault="00D37A37" w:rsidP="005A739F">
      <w:pPr>
        <w:pStyle w:val="Heading3"/>
      </w:pPr>
      <w:bookmarkStart w:id="24" w:name="_Toc218493510"/>
      <w:r w:rsidRPr="00F57987">
        <w:t xml:space="preserve">Virtual </w:t>
      </w:r>
      <w:r w:rsidR="00320299">
        <w:t>i</w:t>
      </w:r>
      <w:r w:rsidRPr="00F57987">
        <w:t>nspections</w:t>
      </w:r>
      <w:bookmarkEnd w:id="24"/>
    </w:p>
    <w:p w14:paraId="13601324" w14:textId="513FECC0" w:rsidR="00D37A37" w:rsidRPr="00F57987" w:rsidRDefault="00D37A37" w:rsidP="005A739F">
      <w:pPr>
        <w:shd w:val="clear" w:color="auto" w:fill="FFFFFF"/>
        <w:spacing w:line="300" w:lineRule="atLeast"/>
        <w:rPr>
          <w:rFonts w:eastAsia="Cambria" w:cstheme="minorHAnsi"/>
          <w:b/>
          <w:bCs/>
        </w:rPr>
      </w:pPr>
      <w:r w:rsidRPr="00F57987">
        <w:rPr>
          <w:rFonts w:eastAsia="Cambria" w:cstheme="minorHAnsi"/>
        </w:rPr>
        <w:t xml:space="preserve">Virtual inspections form an important part of the ODC compliance program and assist </w:t>
      </w:r>
      <w:r w:rsidR="001E43E6">
        <w:rPr>
          <w:rFonts w:eastAsia="Cambria" w:cstheme="minorHAnsi"/>
        </w:rPr>
        <w:t>us</w:t>
      </w:r>
      <w:r w:rsidRPr="00F57987">
        <w:rPr>
          <w:rFonts w:eastAsia="Cambria" w:cstheme="minorHAnsi"/>
        </w:rPr>
        <w:t xml:space="preserve"> to deliver a flexible way of conducting </w:t>
      </w:r>
      <w:r w:rsidR="001E43E6">
        <w:rPr>
          <w:rFonts w:eastAsia="Cambria" w:cstheme="minorHAnsi"/>
        </w:rPr>
        <w:t>our</w:t>
      </w:r>
      <w:r w:rsidR="001E43E6" w:rsidRPr="00F57987">
        <w:rPr>
          <w:rFonts w:eastAsia="Cambria" w:cstheme="minorHAnsi"/>
        </w:rPr>
        <w:t xml:space="preserve"> </w:t>
      </w:r>
      <w:r w:rsidRPr="00F57987">
        <w:rPr>
          <w:rFonts w:eastAsia="Cambria" w:cstheme="minorHAnsi"/>
        </w:rPr>
        <w:t xml:space="preserve">compliance program. Notices may be issued </w:t>
      </w:r>
      <w:r w:rsidRPr="00F57987">
        <w:rPr>
          <w:rFonts w:cstheme="minorHAnsi"/>
          <w:color w:val="222222"/>
        </w:rPr>
        <w:t xml:space="preserve">to obtain information and documents from </w:t>
      </w:r>
      <w:r w:rsidR="002F4542">
        <w:rPr>
          <w:rFonts w:cstheme="minorHAnsi"/>
          <w:color w:val="222222"/>
        </w:rPr>
        <w:t xml:space="preserve">the </w:t>
      </w:r>
      <w:r w:rsidR="004304FA">
        <w:rPr>
          <w:rFonts w:cstheme="minorHAnsi"/>
          <w:color w:val="222222"/>
        </w:rPr>
        <w:t>regulated persons</w:t>
      </w:r>
      <w:r w:rsidRPr="00F57987">
        <w:rPr>
          <w:rFonts w:cstheme="minorHAnsi"/>
          <w:color w:val="222222"/>
        </w:rPr>
        <w:t>. The ODC may also seek information from other sources</w:t>
      </w:r>
      <w:r w:rsidRPr="00F57987">
        <w:rPr>
          <w:rFonts w:eastAsia="Cambria" w:cstheme="minorHAnsi"/>
        </w:rPr>
        <w:t xml:space="preserve"> to verify claims and detect non-compliance. Penalties may apply where a</w:t>
      </w:r>
      <w:r w:rsidR="004304FA">
        <w:rPr>
          <w:rFonts w:eastAsia="Cambria" w:cstheme="minorHAnsi"/>
        </w:rPr>
        <w:t xml:space="preserve"> person</w:t>
      </w:r>
      <w:r w:rsidRPr="00F57987">
        <w:rPr>
          <w:rFonts w:eastAsia="Cambria" w:cstheme="minorHAnsi"/>
        </w:rPr>
        <w:t xml:space="preserve"> fails to provide the requested information.</w:t>
      </w:r>
    </w:p>
    <w:p w14:paraId="67CB1954" w14:textId="76D1DCEF" w:rsidR="00D37A37" w:rsidRPr="00F57987" w:rsidRDefault="00D37A37" w:rsidP="005A739F">
      <w:pPr>
        <w:pStyle w:val="Heading3"/>
      </w:pPr>
      <w:bookmarkStart w:id="25" w:name="_Toc218493511"/>
      <w:r w:rsidRPr="00F57987">
        <w:t xml:space="preserve">On-site </w:t>
      </w:r>
      <w:r w:rsidR="00320299" w:rsidRPr="00F57987">
        <w:t>announced inspections</w:t>
      </w:r>
      <w:bookmarkEnd w:id="25"/>
    </w:p>
    <w:p w14:paraId="75978FC4" w14:textId="209B4172" w:rsidR="00D37A37" w:rsidRPr="00F57987" w:rsidRDefault="00D37A37" w:rsidP="00D37A37">
      <w:pPr>
        <w:shd w:val="clear" w:color="auto" w:fill="FFFFFF"/>
        <w:spacing w:line="300" w:lineRule="atLeast"/>
        <w:rPr>
          <w:rFonts w:cstheme="minorHAnsi"/>
          <w:b/>
          <w:bCs/>
          <w:color w:val="222222"/>
        </w:rPr>
      </w:pPr>
      <w:r w:rsidRPr="00F57987">
        <w:rPr>
          <w:rFonts w:cstheme="minorHAnsi"/>
        </w:rPr>
        <w:t xml:space="preserve">The ODC will undertake announced compliance inspections where the </w:t>
      </w:r>
      <w:r w:rsidR="004304FA">
        <w:rPr>
          <w:rFonts w:cstheme="minorHAnsi"/>
        </w:rPr>
        <w:t xml:space="preserve">regulated persons </w:t>
      </w:r>
      <w:r w:rsidRPr="00F57987">
        <w:rPr>
          <w:rFonts w:cstheme="minorHAnsi"/>
        </w:rPr>
        <w:t xml:space="preserve">will be notified in writing prior to the on-site visit being undertaken. These inspections are generally undertaken with the consent of the occupier of the site. </w:t>
      </w:r>
    </w:p>
    <w:p w14:paraId="527353C1" w14:textId="1D95EBBA" w:rsidR="00D37A37" w:rsidRPr="00F57987" w:rsidRDefault="00D37A37" w:rsidP="005A739F">
      <w:pPr>
        <w:pStyle w:val="Heading3"/>
      </w:pPr>
      <w:bookmarkStart w:id="26" w:name="_Toc218493512"/>
      <w:r w:rsidRPr="00F57987">
        <w:t xml:space="preserve">On-site </w:t>
      </w:r>
      <w:r w:rsidR="00320299" w:rsidRPr="00F57987">
        <w:t>unannounced inspections</w:t>
      </w:r>
      <w:bookmarkEnd w:id="26"/>
    </w:p>
    <w:p w14:paraId="2D60EF34" w14:textId="46B3A7AB" w:rsidR="00D37A37" w:rsidRDefault="00D37A37" w:rsidP="00D37A37">
      <w:pPr>
        <w:shd w:val="clear" w:color="auto" w:fill="FFFFFF"/>
        <w:spacing w:line="300" w:lineRule="atLeast"/>
        <w:rPr>
          <w:rFonts w:cstheme="minorHAnsi"/>
          <w:color w:val="222222"/>
        </w:rPr>
      </w:pPr>
      <w:r w:rsidRPr="00F57987">
        <w:rPr>
          <w:rFonts w:cstheme="minorHAnsi"/>
          <w:color w:val="222222"/>
        </w:rPr>
        <w:t xml:space="preserve">The ODC may conduct unannounced monitoring inspections where authorised inspectors will attend a </w:t>
      </w:r>
      <w:r w:rsidR="00675B5C" w:rsidRPr="00F57987">
        <w:rPr>
          <w:rFonts w:cstheme="minorHAnsi"/>
          <w:color w:val="222222"/>
        </w:rPr>
        <w:t>premise</w:t>
      </w:r>
      <w:r w:rsidR="00ED493D">
        <w:rPr>
          <w:rFonts w:cstheme="minorHAnsi"/>
          <w:color w:val="222222"/>
        </w:rPr>
        <w:t>s</w:t>
      </w:r>
      <w:r w:rsidRPr="00F57987">
        <w:rPr>
          <w:rFonts w:cstheme="minorHAnsi"/>
          <w:color w:val="222222"/>
        </w:rPr>
        <w:t xml:space="preserve"> without notice. </w:t>
      </w:r>
      <w:r w:rsidR="001E43E6">
        <w:rPr>
          <w:rFonts w:cstheme="minorHAnsi"/>
          <w:color w:val="222222"/>
        </w:rPr>
        <w:t>While i</w:t>
      </w:r>
      <w:r w:rsidR="00ED493D">
        <w:rPr>
          <w:rFonts w:cstheme="minorHAnsi"/>
          <w:color w:val="222222"/>
        </w:rPr>
        <w:t xml:space="preserve">nspections </w:t>
      </w:r>
      <w:r w:rsidR="00A61DD3">
        <w:rPr>
          <w:rFonts w:cstheme="minorHAnsi"/>
          <w:color w:val="222222"/>
        </w:rPr>
        <w:t>may be conducted</w:t>
      </w:r>
      <w:r w:rsidR="00ED493D">
        <w:rPr>
          <w:rFonts w:cstheme="minorHAnsi"/>
          <w:color w:val="222222"/>
        </w:rPr>
        <w:t xml:space="preserve"> with consent of the occupier, the</w:t>
      </w:r>
      <w:r w:rsidRPr="00F57987">
        <w:rPr>
          <w:rFonts w:cstheme="minorHAnsi"/>
          <w:color w:val="222222"/>
        </w:rPr>
        <w:t xml:space="preserve"> </w:t>
      </w:r>
      <w:r w:rsidR="00F24C78">
        <w:rPr>
          <w:rFonts w:cstheme="minorHAnsi"/>
          <w:color w:val="222222"/>
        </w:rPr>
        <w:t xml:space="preserve">Narcotic Drugs </w:t>
      </w:r>
      <w:r w:rsidRPr="00F57987">
        <w:rPr>
          <w:rFonts w:cstheme="minorHAnsi"/>
          <w:color w:val="222222"/>
        </w:rPr>
        <w:t xml:space="preserve">Act gives authorised inspectors the power to enter premises without consent. As with announced inspections, </w:t>
      </w:r>
      <w:r w:rsidR="002F4542">
        <w:rPr>
          <w:rFonts w:cstheme="minorHAnsi"/>
          <w:color w:val="222222"/>
        </w:rPr>
        <w:t>occupants</w:t>
      </w:r>
      <w:r w:rsidRPr="00F57987">
        <w:rPr>
          <w:rFonts w:cstheme="minorHAnsi"/>
          <w:color w:val="222222"/>
        </w:rPr>
        <w:t xml:space="preserve"> have the right to observe unannounced compliance inspections; but must not obstruct or hinder an authorised inspector</w:t>
      </w:r>
      <w:r w:rsidR="00EE0AE1">
        <w:rPr>
          <w:rFonts w:cstheme="minorHAnsi"/>
          <w:color w:val="222222"/>
        </w:rPr>
        <w:t xml:space="preserve">, </w:t>
      </w:r>
      <w:r w:rsidRPr="00F57987">
        <w:rPr>
          <w:rFonts w:cstheme="minorHAnsi"/>
          <w:color w:val="222222"/>
        </w:rPr>
        <w:t>which is an offence under the Act.</w:t>
      </w:r>
    </w:p>
    <w:p w14:paraId="303AC1AF" w14:textId="41CECE9C" w:rsidR="00CB1076" w:rsidRPr="00CB1076" w:rsidRDefault="00CB1076" w:rsidP="00CB1076">
      <w:pPr>
        <w:pStyle w:val="Heading3"/>
      </w:pPr>
      <w:bookmarkStart w:id="27" w:name="_Toc218493513"/>
      <w:r w:rsidRPr="00CB1076">
        <w:t xml:space="preserve">Cost </w:t>
      </w:r>
      <w:r w:rsidR="00320299">
        <w:t>r</w:t>
      </w:r>
      <w:r w:rsidRPr="00CB1076">
        <w:t>ecovery</w:t>
      </w:r>
      <w:bookmarkEnd w:id="27"/>
      <w:r w:rsidRPr="00CB1076">
        <w:t xml:space="preserve"> </w:t>
      </w:r>
    </w:p>
    <w:p w14:paraId="5D20A148" w14:textId="35A258F0" w:rsidR="00EE4A69" w:rsidRDefault="00EE4A69" w:rsidP="00D37A37">
      <w:pPr>
        <w:shd w:val="clear" w:color="auto" w:fill="FFFFFF"/>
        <w:spacing w:line="300" w:lineRule="atLeast"/>
        <w:rPr>
          <w:rFonts w:cstheme="minorHAnsi"/>
          <w:color w:val="222222"/>
        </w:rPr>
      </w:pPr>
      <w:r w:rsidRPr="00EE4A69">
        <w:rPr>
          <w:rFonts w:cstheme="minorHAnsi"/>
          <w:color w:val="222222"/>
        </w:rPr>
        <w:t>The </w:t>
      </w:r>
      <w:r w:rsidRPr="00EE4A69">
        <w:rPr>
          <w:rFonts w:cstheme="minorHAnsi"/>
          <w:b/>
          <w:bCs/>
          <w:color w:val="222222"/>
        </w:rPr>
        <w:t>Cost Recovery Implementation Statement (CRIS)</w:t>
      </w:r>
      <w:r w:rsidRPr="00EE4A69">
        <w:rPr>
          <w:rFonts w:cstheme="minorHAnsi"/>
          <w:color w:val="222222"/>
        </w:rPr>
        <w:t xml:space="preserve"> for the ODC outlines how the Department of </w:t>
      </w:r>
      <w:r w:rsidR="008B509B" w:rsidRPr="008B509B">
        <w:rPr>
          <w:rFonts w:cstheme="minorHAnsi"/>
          <w:color w:val="222222"/>
        </w:rPr>
        <w:t>Health, Disability and Ageing</w:t>
      </w:r>
      <w:r w:rsidRPr="00EE4A69">
        <w:rPr>
          <w:rFonts w:cstheme="minorHAnsi"/>
          <w:color w:val="222222"/>
        </w:rPr>
        <w:t xml:space="preserve"> implements cost recovery for regulatory activities under the </w:t>
      </w:r>
      <w:r w:rsidRPr="002719FF">
        <w:rPr>
          <w:rFonts w:cstheme="minorHAnsi"/>
          <w:color w:val="222222"/>
        </w:rPr>
        <w:t>Medicinal Cannabis Scheme</w:t>
      </w:r>
      <w:r w:rsidRPr="00EE4A69">
        <w:rPr>
          <w:rFonts w:cstheme="minorHAnsi"/>
          <w:color w:val="222222"/>
        </w:rPr>
        <w:t>, as governed by the </w:t>
      </w:r>
      <w:r w:rsidRPr="00FC6B33">
        <w:rPr>
          <w:rFonts w:cstheme="minorHAnsi"/>
          <w:color w:val="222222"/>
        </w:rPr>
        <w:t>Narcotic Drugs Act</w:t>
      </w:r>
      <w:r w:rsidRPr="00EE4A69">
        <w:rPr>
          <w:rFonts w:cstheme="minorHAnsi"/>
          <w:color w:val="222222"/>
        </w:rPr>
        <w:t xml:space="preserve">. It details the </w:t>
      </w:r>
      <w:hyperlink r:id="rId39" w:history="1">
        <w:r w:rsidR="00490536">
          <w:rPr>
            <w:rStyle w:val="Hyperlink"/>
            <w:rFonts w:cstheme="minorHAnsi"/>
          </w:rPr>
          <w:t>Fees and charges</w:t>
        </w:r>
      </w:hyperlink>
      <w:r w:rsidRPr="00EE4A69">
        <w:rPr>
          <w:rFonts w:cstheme="minorHAnsi"/>
          <w:color w:val="222222"/>
        </w:rPr>
        <w:t xml:space="preserve"> applied to licence and permit applications, compliance inspections, and other regulatory services. The CRIS ensures transparency and accountability in how costs are calculated and </w:t>
      </w:r>
      <w:r w:rsidR="00FC6B33" w:rsidRPr="00EE4A69">
        <w:rPr>
          <w:rFonts w:cstheme="minorHAnsi"/>
          <w:color w:val="222222"/>
        </w:rPr>
        <w:t>recovered and</w:t>
      </w:r>
      <w:r w:rsidRPr="00EE4A69">
        <w:rPr>
          <w:rFonts w:cstheme="minorHAnsi"/>
          <w:color w:val="222222"/>
        </w:rPr>
        <w:t xml:space="preserve"> includes financial forecasts and performance metrics</w:t>
      </w:r>
      <w:r w:rsidR="00F24C78">
        <w:rPr>
          <w:rFonts w:cstheme="minorHAnsi"/>
          <w:color w:val="222222"/>
        </w:rPr>
        <w:t>.</w:t>
      </w:r>
    </w:p>
    <w:p w14:paraId="1DACE4EB" w14:textId="77777777" w:rsidR="006254F8" w:rsidRDefault="006254F8" w:rsidP="00D37A37">
      <w:pPr>
        <w:shd w:val="clear" w:color="auto" w:fill="FFFFFF"/>
        <w:spacing w:line="300" w:lineRule="atLeast"/>
        <w:rPr>
          <w:rFonts w:cstheme="minorHAnsi"/>
          <w:color w:val="222222"/>
        </w:rPr>
      </w:pPr>
    </w:p>
    <w:p w14:paraId="7AC55A6E" w14:textId="30035DF9" w:rsidR="00D37A37" w:rsidRPr="00F57987" w:rsidRDefault="00D37A37" w:rsidP="00D37A37">
      <w:pPr>
        <w:pStyle w:val="Heading2"/>
        <w:spacing w:after="240"/>
      </w:pPr>
      <w:bookmarkStart w:id="28" w:name="_Toc111825252"/>
      <w:bookmarkStart w:id="29" w:name="_Toc218493514"/>
      <w:r w:rsidRPr="00F57987">
        <w:t>8. Investigations</w:t>
      </w:r>
      <w:bookmarkEnd w:id="28"/>
      <w:bookmarkEnd w:id="29"/>
    </w:p>
    <w:p w14:paraId="13DD8877" w14:textId="3A31B9B5" w:rsidR="00D027B9" w:rsidRDefault="00D37A37" w:rsidP="00D37A37">
      <w:pPr>
        <w:rPr>
          <w:rFonts w:cstheme="minorHAnsi"/>
          <w:color w:val="222222"/>
        </w:rPr>
      </w:pPr>
      <w:r w:rsidRPr="00F57987">
        <w:rPr>
          <w:rFonts w:cstheme="minorHAnsi"/>
          <w:color w:val="222222"/>
        </w:rPr>
        <w:t>The ODC conduct</w:t>
      </w:r>
      <w:r w:rsidR="00DA06A2">
        <w:rPr>
          <w:rFonts w:cstheme="minorHAnsi"/>
          <w:color w:val="222222"/>
        </w:rPr>
        <w:t>s</w:t>
      </w:r>
      <w:r w:rsidRPr="00F57987">
        <w:rPr>
          <w:rFonts w:cstheme="minorHAnsi"/>
          <w:color w:val="222222"/>
        </w:rPr>
        <w:t xml:space="preserve"> investigations in accordance with the </w:t>
      </w:r>
      <w:hyperlink r:id="rId40" w:history="1">
        <w:r w:rsidRPr="00F57987">
          <w:rPr>
            <w:rStyle w:val="Hyperlink"/>
            <w:rFonts w:cstheme="minorHAnsi"/>
            <w:i/>
            <w:iCs/>
          </w:rPr>
          <w:t>Australian Government Investigations Standards</w:t>
        </w:r>
      </w:hyperlink>
      <w:r w:rsidRPr="00F57987">
        <w:rPr>
          <w:rFonts w:cstheme="minorHAnsi"/>
          <w:i/>
          <w:iCs/>
          <w:color w:val="222222"/>
        </w:rPr>
        <w:t xml:space="preserve"> </w:t>
      </w:r>
      <w:r w:rsidRPr="00F57987">
        <w:rPr>
          <w:rFonts w:cstheme="minorHAnsi"/>
          <w:color w:val="222222"/>
        </w:rPr>
        <w:t>(</w:t>
      </w:r>
      <w:r w:rsidRPr="002719FF">
        <w:rPr>
          <w:rFonts w:cstheme="minorHAnsi"/>
          <w:b/>
          <w:bCs/>
          <w:color w:val="222222"/>
        </w:rPr>
        <w:t>AGIS</w:t>
      </w:r>
      <w:r w:rsidRPr="00F57987">
        <w:rPr>
          <w:rFonts w:cstheme="minorHAnsi"/>
          <w:color w:val="222222"/>
        </w:rPr>
        <w:t>), which sets out the minimum standards by which government agencies are to conduct their investigations. The ODC investigates matters by utilising a range of evidence gathering powers and methods, such as</w:t>
      </w:r>
      <w:r w:rsidR="00D027B9">
        <w:rPr>
          <w:rFonts w:cstheme="minorHAnsi"/>
          <w:color w:val="222222"/>
        </w:rPr>
        <w:t>:</w:t>
      </w:r>
      <w:r w:rsidRPr="00F57987">
        <w:rPr>
          <w:rFonts w:cstheme="minorHAnsi"/>
          <w:color w:val="222222"/>
        </w:rPr>
        <w:t xml:space="preserve"> </w:t>
      </w:r>
    </w:p>
    <w:p w14:paraId="758379B3" w14:textId="3C6361DE" w:rsidR="00D027B9" w:rsidRDefault="00D37A37" w:rsidP="00320299">
      <w:pPr>
        <w:pStyle w:val="ListBullet"/>
      </w:pPr>
      <w:r w:rsidRPr="00916BDD">
        <w:t>using monitoring</w:t>
      </w:r>
      <w:r w:rsidR="00D027B9" w:rsidRPr="00916BDD">
        <w:t xml:space="preserve"> </w:t>
      </w:r>
      <w:r w:rsidR="00D027B9">
        <w:t>or</w:t>
      </w:r>
      <w:r w:rsidR="00D027B9" w:rsidRPr="00D027B9">
        <w:t xml:space="preserve"> investigation</w:t>
      </w:r>
      <w:r w:rsidRPr="00D027B9">
        <w:t xml:space="preserve"> powers</w:t>
      </w:r>
      <w:r w:rsidR="00D027B9" w:rsidRPr="00D027B9">
        <w:t xml:space="preserve"> under the </w:t>
      </w:r>
      <w:r w:rsidR="00D027B9" w:rsidRPr="00FC6B33">
        <w:t>Regulatory Powers Act</w:t>
      </w:r>
      <w:r w:rsidRPr="00D027B9">
        <w:t xml:space="preserve"> </w:t>
      </w:r>
    </w:p>
    <w:p w14:paraId="2003458B" w14:textId="1B29A59D" w:rsidR="00D027B9" w:rsidRDefault="00D027B9" w:rsidP="00320299">
      <w:pPr>
        <w:pStyle w:val="ListBullet"/>
      </w:pPr>
      <w:r>
        <w:t>requiring production of</w:t>
      </w:r>
      <w:r w:rsidRPr="00D027B9">
        <w:t xml:space="preserve"> </w:t>
      </w:r>
      <w:r w:rsidR="00D37A37" w:rsidRPr="00D027B9">
        <w:t xml:space="preserve">information or documents by way of a notice </w:t>
      </w:r>
    </w:p>
    <w:p w14:paraId="123DE287" w14:textId="3A9D72D6" w:rsidR="00D37A37" w:rsidRDefault="00D37A37" w:rsidP="00320299">
      <w:pPr>
        <w:pStyle w:val="ListBullet"/>
      </w:pPr>
      <w:r w:rsidRPr="00D027B9">
        <w:t xml:space="preserve">referring matters to law enforcement. </w:t>
      </w:r>
    </w:p>
    <w:p w14:paraId="57767021" w14:textId="4A52EF83" w:rsidR="00D37A37" w:rsidRPr="00F57987" w:rsidRDefault="00D37A37" w:rsidP="00D37A37">
      <w:pPr>
        <w:pStyle w:val="Heading2"/>
        <w:spacing w:after="240"/>
      </w:pPr>
      <w:bookmarkStart w:id="30" w:name="_Toc111825253"/>
      <w:bookmarkStart w:id="31" w:name="_Toc218493515"/>
      <w:r w:rsidRPr="00F57987">
        <w:t>9. Enforcement</w:t>
      </w:r>
      <w:bookmarkEnd w:id="30"/>
      <w:bookmarkEnd w:id="31"/>
      <w:r w:rsidRPr="00F57987">
        <w:t xml:space="preserve"> </w:t>
      </w:r>
    </w:p>
    <w:p w14:paraId="30B646D0" w14:textId="609A3F16" w:rsidR="00A11E14" w:rsidRDefault="00FA1E04" w:rsidP="00A11E14">
      <w:pPr>
        <w:pStyle w:val="NormalWeb"/>
        <w:shd w:val="clear" w:color="auto" w:fill="FFFFFF"/>
        <w:spacing w:before="0" w:after="240"/>
        <w:rPr>
          <w:rFonts w:asciiTheme="minorHAnsi" w:hAnsiTheme="minorHAnsi" w:cstheme="minorHAnsi"/>
          <w:color w:val="222222"/>
          <w:sz w:val="22"/>
          <w:szCs w:val="22"/>
        </w:rPr>
      </w:pPr>
      <w:r>
        <w:rPr>
          <w:rFonts w:asciiTheme="minorHAnsi" w:hAnsiTheme="minorHAnsi" w:cstheme="minorHAnsi"/>
          <w:color w:val="222222"/>
          <w:sz w:val="22"/>
          <w:szCs w:val="22"/>
        </w:rPr>
        <w:t xml:space="preserve">As the </w:t>
      </w:r>
      <w:r w:rsidR="00FA6A1C">
        <w:rPr>
          <w:rFonts w:asciiTheme="minorHAnsi" w:hAnsiTheme="minorHAnsi" w:cstheme="minorHAnsi"/>
          <w:color w:val="222222"/>
          <w:sz w:val="22"/>
          <w:szCs w:val="22"/>
        </w:rPr>
        <w:t>regulated industry</w:t>
      </w:r>
      <w:r>
        <w:rPr>
          <w:rFonts w:asciiTheme="minorHAnsi" w:hAnsiTheme="minorHAnsi" w:cstheme="minorHAnsi"/>
          <w:color w:val="222222"/>
          <w:sz w:val="22"/>
          <w:szCs w:val="22"/>
        </w:rPr>
        <w:t xml:space="preserve"> has matured, t</w:t>
      </w:r>
      <w:r w:rsidR="00A11E14">
        <w:rPr>
          <w:rFonts w:asciiTheme="minorHAnsi" w:hAnsiTheme="minorHAnsi" w:cstheme="minorHAnsi"/>
          <w:color w:val="222222"/>
          <w:sz w:val="22"/>
          <w:szCs w:val="22"/>
        </w:rPr>
        <w:t xml:space="preserve">he </w:t>
      </w:r>
      <w:r w:rsidR="00A11E14" w:rsidRPr="002872D1">
        <w:rPr>
          <w:rFonts w:asciiTheme="minorHAnsi" w:hAnsiTheme="minorHAnsi" w:cstheme="minorHAnsi"/>
          <w:color w:val="222222"/>
          <w:sz w:val="22"/>
          <w:szCs w:val="22"/>
        </w:rPr>
        <w:t>O</w:t>
      </w:r>
      <w:r w:rsidR="00A11E14">
        <w:rPr>
          <w:rFonts w:asciiTheme="minorHAnsi" w:hAnsiTheme="minorHAnsi" w:cstheme="minorHAnsi"/>
          <w:color w:val="222222"/>
          <w:sz w:val="22"/>
          <w:szCs w:val="22"/>
        </w:rPr>
        <w:t>DC</w:t>
      </w:r>
      <w:r w:rsidR="00B5307D">
        <w:rPr>
          <w:rFonts w:asciiTheme="minorHAnsi" w:hAnsiTheme="minorHAnsi" w:cstheme="minorHAnsi"/>
          <w:color w:val="222222"/>
          <w:sz w:val="22"/>
          <w:szCs w:val="22"/>
        </w:rPr>
        <w:t>’</w:t>
      </w:r>
      <w:r w:rsidR="00A11E14">
        <w:rPr>
          <w:rFonts w:asciiTheme="minorHAnsi" w:hAnsiTheme="minorHAnsi" w:cstheme="minorHAnsi"/>
          <w:color w:val="222222"/>
          <w:sz w:val="22"/>
          <w:szCs w:val="22"/>
        </w:rPr>
        <w:t>s</w:t>
      </w:r>
      <w:r w:rsidR="00A11E14" w:rsidRPr="002872D1">
        <w:rPr>
          <w:rFonts w:asciiTheme="minorHAnsi" w:hAnsiTheme="minorHAnsi" w:cstheme="minorHAnsi"/>
          <w:color w:val="222222"/>
          <w:sz w:val="22"/>
          <w:szCs w:val="22"/>
        </w:rPr>
        <w:t xml:space="preserve"> compliance approach is evolving from primarily assisted compliance activities to more directed and enforced compliance measures. While </w:t>
      </w:r>
      <w:r w:rsidR="00913C88">
        <w:rPr>
          <w:rFonts w:asciiTheme="minorHAnsi" w:hAnsiTheme="minorHAnsi" w:cstheme="minorHAnsi"/>
          <w:color w:val="222222"/>
          <w:sz w:val="22"/>
          <w:szCs w:val="22"/>
        </w:rPr>
        <w:t>the ODC</w:t>
      </w:r>
      <w:r w:rsidR="00B5307D">
        <w:rPr>
          <w:rFonts w:asciiTheme="minorHAnsi" w:hAnsiTheme="minorHAnsi" w:cstheme="minorHAnsi"/>
          <w:color w:val="222222"/>
          <w:sz w:val="22"/>
          <w:szCs w:val="22"/>
        </w:rPr>
        <w:t>’</w:t>
      </w:r>
      <w:r w:rsidR="00913C88">
        <w:rPr>
          <w:rFonts w:asciiTheme="minorHAnsi" w:hAnsiTheme="minorHAnsi" w:cstheme="minorHAnsi"/>
          <w:color w:val="222222"/>
          <w:sz w:val="22"/>
          <w:szCs w:val="22"/>
        </w:rPr>
        <w:t xml:space="preserve">s </w:t>
      </w:r>
      <w:r w:rsidR="00A11E14" w:rsidRPr="002872D1">
        <w:rPr>
          <w:rFonts w:asciiTheme="minorHAnsi" w:hAnsiTheme="minorHAnsi" w:cstheme="minorHAnsi"/>
          <w:color w:val="222222"/>
          <w:sz w:val="22"/>
          <w:szCs w:val="22"/>
        </w:rPr>
        <w:lastRenderedPageBreak/>
        <w:t xml:space="preserve">focus is shifting, </w:t>
      </w:r>
      <w:r w:rsidR="00EE0AE1">
        <w:rPr>
          <w:rFonts w:asciiTheme="minorHAnsi" w:hAnsiTheme="minorHAnsi" w:cstheme="minorHAnsi"/>
          <w:color w:val="222222"/>
          <w:sz w:val="22"/>
          <w:szCs w:val="22"/>
        </w:rPr>
        <w:t>t</w:t>
      </w:r>
      <w:r w:rsidR="001D4EFD">
        <w:rPr>
          <w:rFonts w:asciiTheme="minorHAnsi" w:hAnsiTheme="minorHAnsi" w:cstheme="minorHAnsi"/>
          <w:color w:val="222222"/>
          <w:sz w:val="22"/>
          <w:szCs w:val="22"/>
        </w:rPr>
        <w:t>he ODC</w:t>
      </w:r>
      <w:r w:rsidR="00A11E14" w:rsidRPr="002872D1">
        <w:rPr>
          <w:rFonts w:asciiTheme="minorHAnsi" w:hAnsiTheme="minorHAnsi" w:cstheme="minorHAnsi"/>
          <w:color w:val="222222"/>
          <w:sz w:val="22"/>
          <w:szCs w:val="22"/>
        </w:rPr>
        <w:t xml:space="preserve"> remain</w:t>
      </w:r>
      <w:r w:rsidR="00B5307D">
        <w:rPr>
          <w:rFonts w:asciiTheme="minorHAnsi" w:hAnsiTheme="minorHAnsi" w:cstheme="minorHAnsi"/>
          <w:color w:val="222222"/>
          <w:sz w:val="22"/>
          <w:szCs w:val="22"/>
        </w:rPr>
        <w:t>s</w:t>
      </w:r>
      <w:r w:rsidR="00A11E14" w:rsidRPr="002872D1">
        <w:rPr>
          <w:rFonts w:asciiTheme="minorHAnsi" w:hAnsiTheme="minorHAnsi" w:cstheme="minorHAnsi"/>
          <w:color w:val="222222"/>
          <w:sz w:val="22"/>
          <w:szCs w:val="22"/>
        </w:rPr>
        <w:t xml:space="preserve"> committed to education and engagement as key components of our strategy.</w:t>
      </w:r>
    </w:p>
    <w:p w14:paraId="3C6270C0" w14:textId="0D2F629A" w:rsidR="005F7F61" w:rsidRDefault="005F7F61" w:rsidP="003F21D8">
      <w:pPr>
        <w:pStyle w:val="Heading5"/>
      </w:pPr>
      <w:r w:rsidRPr="003F21D8">
        <w:t xml:space="preserve">Diagram </w:t>
      </w:r>
      <w:r w:rsidR="003F21D8" w:rsidRPr="003F21D8">
        <w:t>3</w:t>
      </w:r>
      <w:r>
        <w:t xml:space="preserve"> – ODC’s Compliance Approach </w:t>
      </w:r>
    </w:p>
    <w:p w14:paraId="3000C40E" w14:textId="201AE885" w:rsidR="0006613D" w:rsidRPr="002872D1" w:rsidRDefault="00301C1D" w:rsidP="00320299">
      <w:r>
        <w:rPr>
          <w:noProof/>
        </w:rPr>
        <w:drawing>
          <wp:inline distT="0" distB="0" distL="0" distR="0" wp14:anchorId="5256976E" wp14:editId="7956D3DE">
            <wp:extent cx="5103197" cy="3114675"/>
            <wp:effectExtent l="0" t="0" r="2540" b="0"/>
            <wp:docPr id="1263523589" name="Picture 5" descr="A diagram of a compliance strate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23589" name="Picture 5" descr="A diagram of a compliance strategy&#10;&#10;AI-generated content may be incorrect."/>
                    <pic:cNvPicPr/>
                  </pic:nvPicPr>
                  <pic:blipFill rotWithShape="1">
                    <a:blip r:embed="rId41">
                      <a:extLst>
                        <a:ext uri="{28A0092B-C50C-407E-A947-70E740481C1C}">
                          <a14:useLocalDpi xmlns:a14="http://schemas.microsoft.com/office/drawing/2010/main" val="0"/>
                        </a:ext>
                      </a:extLst>
                    </a:blip>
                    <a:srcRect l="8309" t="4136" r="8099" b="5161"/>
                    <a:stretch>
                      <a:fillRect/>
                    </a:stretch>
                  </pic:blipFill>
                  <pic:spPr bwMode="auto">
                    <a:xfrm>
                      <a:off x="0" y="0"/>
                      <a:ext cx="5123413" cy="3127014"/>
                    </a:xfrm>
                    <a:prstGeom prst="rect">
                      <a:avLst/>
                    </a:prstGeom>
                    <a:ln>
                      <a:noFill/>
                    </a:ln>
                    <a:extLst>
                      <a:ext uri="{53640926-AAD7-44D8-BBD7-CCE9431645EC}">
                        <a14:shadowObscured xmlns:a14="http://schemas.microsoft.com/office/drawing/2010/main"/>
                      </a:ext>
                    </a:extLst>
                  </pic:spPr>
                </pic:pic>
              </a:graphicData>
            </a:graphic>
          </wp:inline>
        </w:drawing>
      </w:r>
    </w:p>
    <w:p w14:paraId="5BC755E1" w14:textId="20E9E729" w:rsidR="00A11E14" w:rsidRDefault="0006613D" w:rsidP="000A30CB">
      <w:pPr>
        <w:pStyle w:val="Paragraphtext"/>
        <w:shd w:val="clear" w:color="auto" w:fill="FFFFFF"/>
        <w:spacing w:before="0" w:after="240"/>
        <w:rPr>
          <w:rFonts w:asciiTheme="minorHAnsi" w:hAnsiTheme="minorHAnsi" w:cstheme="minorHAnsi"/>
          <w:color w:val="222222"/>
          <w:sz w:val="22"/>
          <w:szCs w:val="22"/>
        </w:rPr>
      </w:pPr>
      <w:r w:rsidRPr="000A30CB">
        <w:rPr>
          <w:rFonts w:asciiTheme="minorHAnsi" w:hAnsiTheme="minorHAnsi" w:cstheme="minorHAnsi"/>
          <w:color w:val="222222"/>
          <w:sz w:val="22"/>
          <w:szCs w:val="22"/>
        </w:rPr>
        <w:t>The ODC</w:t>
      </w:r>
      <w:r w:rsidR="00A11E14" w:rsidRPr="000A30CB">
        <w:rPr>
          <w:rFonts w:asciiTheme="minorHAnsi" w:hAnsiTheme="minorHAnsi" w:cstheme="minorHAnsi"/>
          <w:color w:val="222222"/>
          <w:sz w:val="22"/>
          <w:szCs w:val="22"/>
        </w:rPr>
        <w:t xml:space="preserve"> will continue to promote understanding and awareness of regulatory obligations through ongoing education and outreach efforts to key stakeholders and encouraging voluntary compliance across the industry. </w:t>
      </w:r>
    </w:p>
    <w:p w14:paraId="266C4F1E" w14:textId="4554961D" w:rsidR="005F7F61" w:rsidRDefault="005F7F61" w:rsidP="003F21D8">
      <w:pPr>
        <w:pStyle w:val="Heading3"/>
        <w:widowControl w:val="0"/>
      </w:pPr>
      <w:bookmarkStart w:id="32" w:name="_Toc218493516"/>
      <w:r>
        <w:t>Compliance and enforcement tools</w:t>
      </w:r>
      <w:bookmarkEnd w:id="32"/>
    </w:p>
    <w:p w14:paraId="630D3358" w14:textId="2E2FB068" w:rsidR="003F21D8" w:rsidRPr="003F21D8" w:rsidRDefault="00FA74AF" w:rsidP="000853AE">
      <w:pPr>
        <w:keepNext/>
        <w:keepLines/>
        <w:widowControl w:val="0"/>
        <w:rPr>
          <w:rFonts w:cstheme="minorHAnsi"/>
        </w:rPr>
      </w:pPr>
      <w:r>
        <w:rPr>
          <w:rFonts w:cstheme="minorHAnsi"/>
        </w:rPr>
        <w:t>T</w:t>
      </w:r>
      <w:r w:rsidR="0006613D" w:rsidRPr="002872D1">
        <w:rPr>
          <w:rFonts w:cstheme="minorHAnsi"/>
        </w:rPr>
        <w:t xml:space="preserve">he ODC employs a range of compliance and enforcement tools to address alleged non-compliance with the </w:t>
      </w:r>
      <w:r w:rsidR="00DA06A2">
        <w:rPr>
          <w:rFonts w:cstheme="minorHAnsi"/>
        </w:rPr>
        <w:t xml:space="preserve">Narcotic Drugs </w:t>
      </w:r>
      <w:r w:rsidR="0006613D" w:rsidRPr="002872D1">
        <w:rPr>
          <w:rFonts w:cstheme="minorHAnsi"/>
        </w:rPr>
        <w:t xml:space="preserve">Act. These tools may be </w:t>
      </w:r>
      <w:r w:rsidR="0006613D" w:rsidRPr="0006613D">
        <w:rPr>
          <w:rFonts w:cstheme="minorHAnsi"/>
        </w:rPr>
        <w:t>used individually</w:t>
      </w:r>
      <w:r w:rsidR="0006613D" w:rsidRPr="002872D1">
        <w:rPr>
          <w:rFonts w:cstheme="minorHAnsi"/>
        </w:rPr>
        <w:t xml:space="preserve"> or in combination and are designed to encourage and promote compliance. </w:t>
      </w:r>
      <w:bookmarkStart w:id="33" w:name="_Hlk213258390"/>
      <w:r w:rsidR="003E08E2">
        <w:rPr>
          <w:rFonts w:cstheme="minorHAnsi"/>
        </w:rPr>
        <w:t xml:space="preserve">A brief description of these tools is included below and see also Diagram 4. </w:t>
      </w:r>
    </w:p>
    <w:tbl>
      <w:tblPr>
        <w:tblStyle w:val="TableGrid"/>
        <w:tblW w:w="10065" w:type="dxa"/>
        <w:tblInd w:w="-147" w:type="dxa"/>
        <w:tblLook w:val="04A0" w:firstRow="1" w:lastRow="0" w:firstColumn="1" w:lastColumn="0" w:noHBand="0" w:noVBand="1"/>
      </w:tblPr>
      <w:tblGrid>
        <w:gridCol w:w="2552"/>
        <w:gridCol w:w="7513"/>
      </w:tblGrid>
      <w:tr w:rsidR="000853AE" w:rsidRPr="00AF4F9C" w14:paraId="7F943659" w14:textId="77777777" w:rsidTr="002A38DE">
        <w:tc>
          <w:tcPr>
            <w:tcW w:w="2552" w:type="dxa"/>
            <w:vAlign w:val="center"/>
          </w:tcPr>
          <w:p w14:paraId="29FE4DC8"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Education</w:t>
            </w:r>
          </w:p>
        </w:tc>
        <w:tc>
          <w:tcPr>
            <w:tcW w:w="7513" w:type="dxa"/>
            <w:vAlign w:val="center"/>
          </w:tcPr>
          <w:p w14:paraId="1BFACCEC" w14:textId="00192810"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Activities may include onsite or virtual inspections, presentations, website updates, stakeholder meetings, and sharing information. The ODC also gives direct feedback to help regulated persons improve their practices</w:t>
            </w:r>
            <w:r w:rsidR="002A38DE" w:rsidRPr="00681E34">
              <w:rPr>
                <w:rFonts w:ascii="Calibri" w:hAnsi="Calibri" w:cs="Calibri"/>
                <w:sz w:val="22"/>
                <w:szCs w:val="22"/>
              </w:rPr>
              <w:t>.</w:t>
            </w:r>
          </w:p>
        </w:tc>
      </w:tr>
      <w:tr w:rsidR="000853AE" w:rsidRPr="00AF4F9C" w14:paraId="75448677" w14:textId="77777777" w:rsidTr="002A38DE">
        <w:tc>
          <w:tcPr>
            <w:tcW w:w="2552" w:type="dxa"/>
            <w:vAlign w:val="center"/>
          </w:tcPr>
          <w:p w14:paraId="73F5F282"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Administrative activity</w:t>
            </w:r>
          </w:p>
        </w:tc>
        <w:tc>
          <w:tcPr>
            <w:tcW w:w="7513" w:type="dxa"/>
            <w:vAlign w:val="center"/>
          </w:tcPr>
          <w:p w14:paraId="3D6560EF" w14:textId="7C2BEF61"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This includes corresponding with the applicant</w:t>
            </w:r>
            <w:r w:rsidR="00EC1B67" w:rsidRPr="00681E34">
              <w:rPr>
                <w:rFonts w:ascii="Calibri" w:hAnsi="Calibri" w:cs="Calibri"/>
                <w:sz w:val="22"/>
                <w:szCs w:val="22"/>
              </w:rPr>
              <w:t>,</w:t>
            </w:r>
            <w:r w:rsidRPr="00681E34">
              <w:rPr>
                <w:rFonts w:ascii="Calibri" w:hAnsi="Calibri" w:cs="Calibri"/>
                <w:sz w:val="22"/>
                <w:szCs w:val="22"/>
              </w:rPr>
              <w:t xml:space="preserve"> including issuing warning letters. Warning letters may be issued for low compliance risks.</w:t>
            </w:r>
          </w:p>
        </w:tc>
      </w:tr>
      <w:tr w:rsidR="000853AE" w:rsidRPr="00AF4F9C" w14:paraId="364AF54F" w14:textId="77777777" w:rsidTr="002A38DE">
        <w:tc>
          <w:tcPr>
            <w:tcW w:w="2552" w:type="dxa"/>
            <w:vAlign w:val="center"/>
          </w:tcPr>
          <w:p w14:paraId="60E774AC"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Infringement notices</w:t>
            </w:r>
          </w:p>
        </w:tc>
        <w:tc>
          <w:tcPr>
            <w:tcW w:w="7513" w:type="dxa"/>
            <w:vAlign w:val="center"/>
          </w:tcPr>
          <w:p w14:paraId="2A73C4A0" w14:textId="43CB1E4E" w:rsidR="000853AE" w:rsidRPr="00681E34" w:rsidRDefault="004A3601" w:rsidP="003F21D8">
            <w:pPr>
              <w:spacing w:before="80" w:after="80" w:line="276" w:lineRule="auto"/>
              <w:rPr>
                <w:rFonts w:ascii="Calibri" w:hAnsi="Calibri" w:cs="Calibri"/>
                <w:sz w:val="22"/>
                <w:szCs w:val="22"/>
              </w:rPr>
            </w:pPr>
            <w:bookmarkStart w:id="34" w:name="_Hlk213258990"/>
            <w:r w:rsidRPr="00681E34">
              <w:rPr>
                <w:rFonts w:ascii="Calibri" w:hAnsi="Calibri" w:cs="Calibri"/>
                <w:sz w:val="22"/>
                <w:szCs w:val="22"/>
              </w:rPr>
              <w:t xml:space="preserve">The Narcotic Drugs Act includes criminal offences and civil penalties. If the ODC </w:t>
            </w:r>
            <w:r w:rsidR="0090641C" w:rsidRPr="00681E34">
              <w:rPr>
                <w:rFonts w:ascii="Calibri" w:hAnsi="Calibri" w:cs="Calibri"/>
                <w:sz w:val="22"/>
                <w:szCs w:val="22"/>
              </w:rPr>
              <w:t>determines that</w:t>
            </w:r>
            <w:r w:rsidRPr="00681E34">
              <w:rPr>
                <w:rFonts w:ascii="Calibri" w:hAnsi="Calibri" w:cs="Calibri"/>
                <w:sz w:val="22"/>
                <w:szCs w:val="22"/>
              </w:rPr>
              <w:t xml:space="preserve"> the Act has been breached, it can </w:t>
            </w:r>
            <w:r w:rsidR="007B5CAA" w:rsidRPr="00681E34">
              <w:rPr>
                <w:rFonts w:ascii="Calibri" w:hAnsi="Calibri" w:cs="Calibri"/>
                <w:sz w:val="22"/>
                <w:szCs w:val="22"/>
              </w:rPr>
              <w:t>give</w:t>
            </w:r>
            <w:r w:rsidRPr="00681E34">
              <w:rPr>
                <w:rFonts w:ascii="Calibri" w:hAnsi="Calibri" w:cs="Calibri"/>
                <w:sz w:val="22"/>
                <w:szCs w:val="22"/>
              </w:rPr>
              <w:t xml:space="preserve"> infringement notice</w:t>
            </w:r>
            <w:r w:rsidR="0090641C" w:rsidRPr="00681E34">
              <w:rPr>
                <w:rFonts w:ascii="Calibri" w:hAnsi="Calibri" w:cs="Calibri"/>
                <w:sz w:val="22"/>
                <w:szCs w:val="22"/>
              </w:rPr>
              <w:t>s</w:t>
            </w:r>
            <w:r w:rsidRPr="00681E34">
              <w:rPr>
                <w:rFonts w:ascii="Calibri" w:hAnsi="Calibri" w:cs="Calibri"/>
                <w:sz w:val="22"/>
                <w:szCs w:val="22"/>
              </w:rPr>
              <w:t xml:space="preserve"> instead of going to court. If the infringement notice is not paid, further action can be taken.</w:t>
            </w:r>
            <w:bookmarkEnd w:id="34"/>
          </w:p>
        </w:tc>
      </w:tr>
      <w:tr w:rsidR="000853AE" w:rsidRPr="00AF4F9C" w14:paraId="733858EF" w14:textId="77777777" w:rsidTr="002A38DE">
        <w:tc>
          <w:tcPr>
            <w:tcW w:w="2552" w:type="dxa"/>
            <w:vAlign w:val="center"/>
          </w:tcPr>
          <w:p w14:paraId="74B1A09A"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Directions</w:t>
            </w:r>
          </w:p>
        </w:tc>
        <w:tc>
          <w:tcPr>
            <w:tcW w:w="7513" w:type="dxa"/>
            <w:vAlign w:val="center"/>
          </w:tcPr>
          <w:p w14:paraId="5D6B2A08" w14:textId="2D7B622F" w:rsidR="00D3037D" w:rsidRPr="00681E34" w:rsidRDefault="00D3037D" w:rsidP="003F21D8">
            <w:pPr>
              <w:spacing w:before="80" w:after="80" w:line="276" w:lineRule="auto"/>
              <w:rPr>
                <w:rFonts w:ascii="Calibri" w:hAnsi="Calibri" w:cs="Calibri"/>
                <w:sz w:val="22"/>
                <w:szCs w:val="22"/>
              </w:rPr>
            </w:pPr>
            <w:r w:rsidRPr="00681E34">
              <w:rPr>
                <w:rFonts w:ascii="Calibri" w:hAnsi="Calibri" w:cs="Calibri"/>
                <w:sz w:val="22"/>
                <w:szCs w:val="22"/>
              </w:rPr>
              <w:t xml:space="preserve">The ODC has the authority to issue directions concerning the security of premises, the handling and destruction of cannabis (including plants, resin, and narcotic preparations), and the manufacturing or labelling of drugs. Failure to </w:t>
            </w:r>
            <w:r w:rsidRPr="00681E34">
              <w:rPr>
                <w:rFonts w:ascii="Calibri" w:hAnsi="Calibri" w:cs="Calibri"/>
                <w:sz w:val="22"/>
                <w:szCs w:val="22"/>
              </w:rPr>
              <w:lastRenderedPageBreak/>
              <w:t>comply with these directions constitutes a criminal offence and may also result in civil penalties</w:t>
            </w:r>
            <w:r w:rsidR="002A38DE" w:rsidRPr="00681E34">
              <w:rPr>
                <w:rFonts w:ascii="Calibri" w:hAnsi="Calibri" w:cs="Calibri"/>
                <w:sz w:val="22"/>
                <w:szCs w:val="22"/>
              </w:rPr>
              <w:t>.</w:t>
            </w:r>
          </w:p>
        </w:tc>
      </w:tr>
      <w:tr w:rsidR="000853AE" w:rsidRPr="00AF4F9C" w14:paraId="2FC958A6" w14:textId="77777777" w:rsidTr="002A38DE">
        <w:tc>
          <w:tcPr>
            <w:tcW w:w="2552" w:type="dxa"/>
            <w:vAlign w:val="center"/>
          </w:tcPr>
          <w:p w14:paraId="53B8B578"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lastRenderedPageBreak/>
              <w:t>Enforceable undertakings</w:t>
            </w:r>
          </w:p>
        </w:tc>
        <w:tc>
          <w:tcPr>
            <w:tcW w:w="7513" w:type="dxa"/>
            <w:vAlign w:val="center"/>
          </w:tcPr>
          <w:p w14:paraId="7016A51E" w14:textId="74C875E6" w:rsidR="00C13A3A" w:rsidRPr="00681E34" w:rsidRDefault="00C13A3A" w:rsidP="003F21D8">
            <w:pPr>
              <w:spacing w:before="80" w:after="80" w:line="276" w:lineRule="auto"/>
              <w:rPr>
                <w:rFonts w:ascii="Calibri" w:hAnsi="Calibri" w:cs="Calibri"/>
                <w:sz w:val="22"/>
                <w:szCs w:val="22"/>
              </w:rPr>
            </w:pPr>
            <w:r w:rsidRPr="00681E34">
              <w:rPr>
                <w:rFonts w:ascii="Calibri" w:hAnsi="Calibri" w:cs="Calibri"/>
                <w:sz w:val="22"/>
                <w:szCs w:val="22"/>
              </w:rPr>
              <w:t>The ODC may choose to negotiate an enforceable undertaking as an alternative to initiating court proceedings. This legally binding agreement requires a licence holder who has breached the law to commit to specific corrective actions. If breached, the ODC can seek enforcement orders from the Federal Court.</w:t>
            </w:r>
          </w:p>
        </w:tc>
      </w:tr>
      <w:tr w:rsidR="000853AE" w:rsidRPr="00AF4F9C" w14:paraId="165D806D" w14:textId="77777777" w:rsidTr="002A38DE">
        <w:tc>
          <w:tcPr>
            <w:tcW w:w="2552" w:type="dxa"/>
            <w:vAlign w:val="center"/>
          </w:tcPr>
          <w:p w14:paraId="5A5AAFBF"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Injunctions</w:t>
            </w:r>
          </w:p>
        </w:tc>
        <w:tc>
          <w:tcPr>
            <w:tcW w:w="7513" w:type="dxa"/>
            <w:vAlign w:val="center"/>
          </w:tcPr>
          <w:p w14:paraId="64150B40" w14:textId="5B9CC711" w:rsidR="00FD5292" w:rsidRPr="00681E34" w:rsidRDefault="00FD5292" w:rsidP="00FD5292">
            <w:pPr>
              <w:spacing w:before="80" w:after="80" w:line="276" w:lineRule="auto"/>
              <w:rPr>
                <w:rFonts w:ascii="Calibri" w:hAnsi="Calibri" w:cs="Calibri"/>
                <w:sz w:val="22"/>
                <w:szCs w:val="22"/>
              </w:rPr>
            </w:pPr>
            <w:r w:rsidRPr="00681E34">
              <w:rPr>
                <w:rFonts w:ascii="Calibri" w:hAnsi="Calibri" w:cs="Calibri"/>
                <w:sz w:val="22"/>
                <w:szCs w:val="22"/>
              </w:rPr>
              <w:t>The ODC may seek an injunction from the Federal Court or Federal Circuit Court to prevent further or ongoing breaches of the Narcotic Drugs Act or Regulation, or to compel compliance where a licence holder fails or refuses to meet their legal obligations</w:t>
            </w:r>
            <w:r w:rsidR="002A38DE" w:rsidRPr="00681E34">
              <w:rPr>
                <w:rFonts w:ascii="Calibri" w:hAnsi="Calibri" w:cs="Calibri"/>
                <w:sz w:val="22"/>
                <w:szCs w:val="22"/>
              </w:rPr>
              <w:t>.</w:t>
            </w:r>
          </w:p>
        </w:tc>
      </w:tr>
      <w:tr w:rsidR="000853AE" w:rsidRPr="00AF4F9C" w14:paraId="0B83B042" w14:textId="77777777" w:rsidTr="002A38DE">
        <w:tc>
          <w:tcPr>
            <w:tcW w:w="2552" w:type="dxa"/>
            <w:vAlign w:val="center"/>
          </w:tcPr>
          <w:p w14:paraId="1C1497D6"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Suspension of licence or permit</w:t>
            </w:r>
          </w:p>
        </w:tc>
        <w:tc>
          <w:tcPr>
            <w:tcW w:w="7513" w:type="dxa"/>
            <w:vAlign w:val="center"/>
          </w:tcPr>
          <w:p w14:paraId="5D11B618" w14:textId="7B173C8C" w:rsidR="000853AE" w:rsidRPr="00681E34" w:rsidRDefault="00261BB9" w:rsidP="003F21D8">
            <w:pPr>
              <w:spacing w:before="80" w:after="80" w:line="276" w:lineRule="auto"/>
              <w:rPr>
                <w:rFonts w:ascii="Calibri" w:hAnsi="Calibri" w:cs="Calibri"/>
                <w:sz w:val="22"/>
                <w:szCs w:val="22"/>
              </w:rPr>
            </w:pPr>
            <w:bookmarkStart w:id="35" w:name="_Hlk213259082"/>
            <w:r w:rsidRPr="00681E34">
              <w:rPr>
                <w:rFonts w:ascii="Calibri" w:hAnsi="Calibri" w:cs="Calibri"/>
                <w:sz w:val="22"/>
                <w:szCs w:val="22"/>
              </w:rPr>
              <w:t>Under the Narcotic Drugs Regulation, the ODC may suspend a licence or permit, stopping authorised activities during the suspension period. The ODC may also revoke or extend the suspension and take further enforcement action against the licence holder if necessary.</w:t>
            </w:r>
            <w:bookmarkEnd w:id="35"/>
          </w:p>
        </w:tc>
      </w:tr>
      <w:tr w:rsidR="000853AE" w:rsidRPr="00AF4F9C" w14:paraId="25A44C2A" w14:textId="77777777" w:rsidTr="002A38DE">
        <w:tc>
          <w:tcPr>
            <w:tcW w:w="2552" w:type="dxa"/>
            <w:vAlign w:val="center"/>
          </w:tcPr>
          <w:p w14:paraId="560D78EA"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Revocation of licence or permit</w:t>
            </w:r>
          </w:p>
        </w:tc>
        <w:tc>
          <w:tcPr>
            <w:tcW w:w="7513" w:type="dxa"/>
            <w:vAlign w:val="center"/>
          </w:tcPr>
          <w:p w14:paraId="5DE497E6" w14:textId="5FB8F5D4" w:rsidR="000853AE" w:rsidRPr="00681E34" w:rsidRDefault="00662E6B" w:rsidP="003F21D8">
            <w:pPr>
              <w:spacing w:before="80" w:after="80" w:line="276" w:lineRule="auto"/>
              <w:rPr>
                <w:rFonts w:ascii="Calibri" w:hAnsi="Calibri" w:cs="Calibri"/>
                <w:sz w:val="22"/>
                <w:szCs w:val="22"/>
              </w:rPr>
            </w:pPr>
            <w:r w:rsidRPr="00681E34">
              <w:rPr>
                <w:rFonts w:ascii="Calibri" w:hAnsi="Calibri" w:cs="Calibri"/>
                <w:sz w:val="22"/>
                <w:szCs w:val="22"/>
              </w:rPr>
              <w:t>The ODC may revoke a licence or permit under the Narcotic Drugs Act for various reasons, including if the licence holder or its directors commit a serious offence, are deemed unsuitable, or if associated individuals or business operations are found to be inappropriate. Additional grounds for revocation may be applied at the ODC’s discretion, based on the specific circumstances.</w:t>
            </w:r>
          </w:p>
        </w:tc>
      </w:tr>
      <w:tr w:rsidR="000853AE" w:rsidRPr="00AF4F9C" w14:paraId="1ABDE49D" w14:textId="77777777" w:rsidTr="002A38DE">
        <w:tc>
          <w:tcPr>
            <w:tcW w:w="2552" w:type="dxa"/>
            <w:vAlign w:val="center"/>
          </w:tcPr>
          <w:p w14:paraId="2B0AB988" w14:textId="77777777" w:rsidR="000853AE" w:rsidRPr="00681E34" w:rsidRDefault="000853AE" w:rsidP="003F21D8">
            <w:pPr>
              <w:spacing w:before="80" w:after="80" w:line="276" w:lineRule="auto"/>
              <w:rPr>
                <w:rFonts w:ascii="Calibri" w:hAnsi="Calibri" w:cs="Calibri"/>
                <w:sz w:val="22"/>
                <w:szCs w:val="22"/>
              </w:rPr>
            </w:pPr>
            <w:r w:rsidRPr="00681E34">
              <w:rPr>
                <w:rFonts w:ascii="Calibri" w:hAnsi="Calibri" w:cs="Calibri"/>
                <w:sz w:val="22"/>
                <w:szCs w:val="22"/>
              </w:rPr>
              <w:t>Civil penalty proceedings or criminal prosecutions</w:t>
            </w:r>
          </w:p>
        </w:tc>
        <w:tc>
          <w:tcPr>
            <w:tcW w:w="7513" w:type="dxa"/>
            <w:vAlign w:val="center"/>
          </w:tcPr>
          <w:p w14:paraId="1EB4D78C" w14:textId="09240626" w:rsidR="000853AE" w:rsidRPr="00681E34" w:rsidRDefault="000853AE" w:rsidP="003F21D8">
            <w:pPr>
              <w:spacing w:before="80" w:after="80" w:line="276" w:lineRule="auto"/>
              <w:rPr>
                <w:rFonts w:ascii="Calibri" w:hAnsi="Calibri" w:cs="Calibri"/>
                <w:sz w:val="22"/>
                <w:szCs w:val="22"/>
              </w:rPr>
            </w:pPr>
            <w:bookmarkStart w:id="36" w:name="_Hlk213258478"/>
            <w:r w:rsidRPr="00681E34">
              <w:rPr>
                <w:rFonts w:ascii="Calibri" w:hAnsi="Calibri" w:cs="Calibri"/>
                <w:sz w:val="22"/>
                <w:szCs w:val="22"/>
              </w:rPr>
              <w:t>The Narcotic Drugs Act sets out offences that can lead to criminal penalties, including those where intent does or does not need to be proved. Serious breaches may result in criminal proceedings. The Act also contains civil penalty provisions and allows the ODC to seek court-ordered penalties for breaches of these provisions.</w:t>
            </w:r>
            <w:bookmarkEnd w:id="36"/>
          </w:p>
        </w:tc>
      </w:tr>
      <w:bookmarkEnd w:id="33"/>
    </w:tbl>
    <w:p w14:paraId="7624432C" w14:textId="77777777" w:rsidR="00CB1076" w:rsidRDefault="00CB1076" w:rsidP="003F21D8">
      <w:pPr>
        <w:pStyle w:val="Heading5"/>
      </w:pPr>
    </w:p>
    <w:p w14:paraId="1057FEEE" w14:textId="02B1B2C8" w:rsidR="0006613D" w:rsidRDefault="005F7F61" w:rsidP="003F21D8">
      <w:pPr>
        <w:pStyle w:val="Heading5"/>
      </w:pPr>
      <w:r>
        <w:t>Diagram</w:t>
      </w:r>
      <w:r w:rsidR="003F21D8">
        <w:t xml:space="preserve"> 4 </w:t>
      </w:r>
      <w:r>
        <w:t xml:space="preserve">- ODC’s Compliance and Enforcement Tools </w:t>
      </w:r>
    </w:p>
    <w:p w14:paraId="64E97F75" w14:textId="43CBFA78" w:rsidR="0006613D" w:rsidRPr="002872D1" w:rsidRDefault="007E296D" w:rsidP="00AA6879">
      <w:pPr>
        <w:jc w:val="center"/>
        <w:rPr>
          <w:rFonts w:cstheme="minorHAnsi"/>
        </w:rPr>
      </w:pPr>
      <w:r>
        <w:rPr>
          <w:noProof/>
        </w:rPr>
        <w:drawing>
          <wp:inline distT="0" distB="0" distL="0" distR="0" wp14:anchorId="0354995A" wp14:editId="6B6EBE2C">
            <wp:extent cx="3848278" cy="2899695"/>
            <wp:effectExtent l="19050" t="0" r="38100" b="15240"/>
            <wp:docPr id="6833555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0CEA54D" w14:textId="250AEB92" w:rsidR="00EE3853" w:rsidRPr="003E08E2" w:rsidRDefault="003E08E2" w:rsidP="003E08E2">
      <w:r w:rsidRPr="003E08E2">
        <w:lastRenderedPageBreak/>
        <w:t xml:space="preserve">This diagram presents the various compliance and enforcement tools at the ODC’s disposal. It is important to recognise that the diagram does not </w:t>
      </w:r>
      <w:r w:rsidR="00244363" w:rsidRPr="00244363">
        <w:t>represent a fixed or sequential process</w:t>
      </w:r>
      <w:r w:rsidR="00244363">
        <w:t>. Enforcement</w:t>
      </w:r>
      <w:r w:rsidRPr="003E08E2">
        <w:t xml:space="preserve"> actions are not always initiated with education, nor do they necessarily follow a set </w:t>
      </w:r>
      <w:r>
        <w:t>sequence</w:t>
      </w:r>
      <w:r w:rsidRPr="003E08E2">
        <w:t>. The ODC’s choice of enforcement action is determined by the particular facts of each case, including the type and seriousness of the risks involved.</w:t>
      </w:r>
    </w:p>
    <w:p w14:paraId="60EDF1B0" w14:textId="3C21F977" w:rsidR="0006613D" w:rsidRDefault="00D37A37" w:rsidP="00D37A37">
      <w:pPr>
        <w:rPr>
          <w:rFonts w:cstheme="minorHAnsi"/>
          <w:color w:val="222222"/>
        </w:rPr>
      </w:pPr>
      <w:r w:rsidRPr="00F57987">
        <w:rPr>
          <w:rFonts w:cstheme="minorHAnsi"/>
          <w:color w:val="222222"/>
        </w:rPr>
        <w:t xml:space="preserve">The ODC will consider what enforcement action, if any, should be taken against </w:t>
      </w:r>
      <w:r w:rsidR="004304FA">
        <w:rPr>
          <w:rFonts w:cstheme="minorHAnsi"/>
          <w:color w:val="222222"/>
        </w:rPr>
        <w:t xml:space="preserve">regulated persons, </w:t>
      </w:r>
      <w:r w:rsidRPr="00F57987">
        <w:rPr>
          <w:rFonts w:cstheme="minorHAnsi"/>
          <w:color w:val="222222"/>
        </w:rPr>
        <w:t>ensur</w:t>
      </w:r>
      <w:r w:rsidR="004304FA">
        <w:rPr>
          <w:rFonts w:cstheme="minorHAnsi"/>
          <w:color w:val="222222"/>
        </w:rPr>
        <w:t>ing</w:t>
      </w:r>
      <w:r w:rsidRPr="00F57987">
        <w:rPr>
          <w:rFonts w:cstheme="minorHAnsi"/>
          <w:color w:val="222222"/>
        </w:rPr>
        <w:t xml:space="preserve"> that the outcomes are appropriate and proportionate in the circumstances. </w:t>
      </w:r>
    </w:p>
    <w:p w14:paraId="22C84232" w14:textId="2F573528" w:rsidR="00D37A37" w:rsidRPr="00F57987" w:rsidRDefault="00D37A37" w:rsidP="00D37A37">
      <w:pPr>
        <w:pStyle w:val="Heading2"/>
        <w:spacing w:after="240"/>
      </w:pPr>
      <w:bookmarkStart w:id="37" w:name="_Toc111825254"/>
      <w:bookmarkStart w:id="38" w:name="_Toc218493517"/>
      <w:r w:rsidRPr="00F57987">
        <w:t xml:space="preserve">10. Administrative </w:t>
      </w:r>
      <w:r w:rsidR="00320299" w:rsidRPr="00F57987">
        <w:t>law principles</w:t>
      </w:r>
      <w:bookmarkEnd w:id="37"/>
      <w:bookmarkEnd w:id="38"/>
    </w:p>
    <w:p w14:paraId="59081EEA" w14:textId="744E8D25" w:rsidR="004B4E49" w:rsidRPr="004B4E49" w:rsidRDefault="00FA7ED8" w:rsidP="004B4E49">
      <w:pPr>
        <w:rPr>
          <w:rFonts w:cstheme="minorHAnsi"/>
        </w:rPr>
      </w:pPr>
      <w:r>
        <w:rPr>
          <w:rFonts w:cstheme="minorHAnsi"/>
        </w:rPr>
        <w:t xml:space="preserve">The ODC </w:t>
      </w:r>
      <w:r w:rsidR="004B4E49" w:rsidRPr="004B4E49">
        <w:rPr>
          <w:rFonts w:cstheme="minorHAnsi"/>
        </w:rPr>
        <w:t>undertake</w:t>
      </w:r>
      <w:r>
        <w:rPr>
          <w:rFonts w:cstheme="minorHAnsi"/>
        </w:rPr>
        <w:t>s</w:t>
      </w:r>
      <w:r w:rsidR="004B4E49" w:rsidRPr="004B4E49">
        <w:rPr>
          <w:rFonts w:cstheme="minorHAnsi"/>
        </w:rPr>
        <w:t xml:space="preserve"> </w:t>
      </w:r>
      <w:r w:rsidR="00D027B9">
        <w:rPr>
          <w:rFonts w:cstheme="minorHAnsi"/>
        </w:rPr>
        <w:t>its</w:t>
      </w:r>
      <w:r w:rsidR="00D027B9" w:rsidRPr="004B4E49">
        <w:rPr>
          <w:rFonts w:cstheme="minorHAnsi"/>
        </w:rPr>
        <w:t xml:space="preserve"> </w:t>
      </w:r>
      <w:r w:rsidR="004B4E49" w:rsidRPr="004B4E49">
        <w:rPr>
          <w:rFonts w:cstheme="minorHAnsi"/>
        </w:rPr>
        <w:t>compliance activities with integrity, professionalism and with due regard to procedural fairness</w:t>
      </w:r>
      <w:r w:rsidR="005A2931">
        <w:rPr>
          <w:rFonts w:cstheme="minorHAnsi"/>
        </w:rPr>
        <w:t>,</w:t>
      </w:r>
      <w:r w:rsidR="004B4E49">
        <w:rPr>
          <w:rFonts w:cstheme="minorHAnsi"/>
        </w:rPr>
        <w:t xml:space="preserve"> and provide</w:t>
      </w:r>
      <w:r w:rsidR="00D027B9">
        <w:rPr>
          <w:rFonts w:cstheme="minorHAnsi"/>
        </w:rPr>
        <w:t>s</w:t>
      </w:r>
      <w:r w:rsidR="004B4E49">
        <w:rPr>
          <w:rFonts w:cstheme="minorHAnsi"/>
        </w:rPr>
        <w:t xml:space="preserve"> information </w:t>
      </w:r>
      <w:r w:rsidR="00B5307D">
        <w:rPr>
          <w:rFonts w:cstheme="minorHAnsi"/>
        </w:rPr>
        <w:t xml:space="preserve">regarding </w:t>
      </w:r>
      <w:r w:rsidR="004B4E49">
        <w:rPr>
          <w:rFonts w:cstheme="minorHAnsi"/>
        </w:rPr>
        <w:t xml:space="preserve">the </w:t>
      </w:r>
      <w:r w:rsidR="00B5307D">
        <w:rPr>
          <w:rFonts w:cstheme="minorHAnsi"/>
        </w:rPr>
        <w:t xml:space="preserve">regulated </w:t>
      </w:r>
      <w:r w:rsidR="004B4E49">
        <w:rPr>
          <w:rFonts w:cstheme="minorHAnsi"/>
        </w:rPr>
        <w:t>person</w:t>
      </w:r>
      <w:r w:rsidR="00B5307D">
        <w:rPr>
          <w:rFonts w:cstheme="minorHAnsi"/>
        </w:rPr>
        <w:t>’</w:t>
      </w:r>
      <w:r w:rsidR="004B4E49">
        <w:rPr>
          <w:rFonts w:cstheme="minorHAnsi"/>
        </w:rPr>
        <w:t xml:space="preserve">s rights </w:t>
      </w:r>
      <w:r>
        <w:rPr>
          <w:rFonts w:cstheme="minorHAnsi"/>
        </w:rPr>
        <w:t xml:space="preserve">so they can meet </w:t>
      </w:r>
      <w:r w:rsidR="004B4E49">
        <w:rPr>
          <w:rFonts w:cstheme="minorHAnsi"/>
        </w:rPr>
        <w:t>their obligations.</w:t>
      </w:r>
    </w:p>
    <w:p w14:paraId="79C9C0E7" w14:textId="18065982" w:rsidR="004B4E49" w:rsidRPr="00DE7790" w:rsidRDefault="00D37A37" w:rsidP="004B4E49">
      <w:pPr>
        <w:rPr>
          <w:rFonts w:cstheme="minorHAnsi"/>
        </w:rPr>
      </w:pPr>
      <w:r w:rsidRPr="00F57987">
        <w:rPr>
          <w:rFonts w:cstheme="minorHAnsi"/>
          <w:color w:val="222222"/>
        </w:rPr>
        <w:t>Administrative decisions</w:t>
      </w:r>
      <w:r w:rsidR="00602ECF">
        <w:rPr>
          <w:rFonts w:cstheme="minorHAnsi"/>
          <w:color w:val="222222"/>
        </w:rPr>
        <w:t>, distinct from criminal prosecutions,</w:t>
      </w:r>
      <w:r w:rsidRPr="00F57987">
        <w:rPr>
          <w:rFonts w:cstheme="minorHAnsi"/>
          <w:color w:val="222222"/>
        </w:rPr>
        <w:t xml:space="preserve"> are reviewable and must comply with the requirements of administrative law. </w:t>
      </w:r>
      <w:r w:rsidRPr="00F57987">
        <w:rPr>
          <w:rFonts w:cstheme="minorHAnsi"/>
        </w:rPr>
        <w:t xml:space="preserve">The </w:t>
      </w:r>
      <w:r w:rsidR="004304FA">
        <w:rPr>
          <w:rFonts w:cstheme="minorHAnsi"/>
        </w:rPr>
        <w:t xml:space="preserve">Narcotic Drugs </w:t>
      </w:r>
      <w:r w:rsidRPr="00F57987">
        <w:rPr>
          <w:rFonts w:cstheme="minorHAnsi"/>
        </w:rPr>
        <w:t>Act provides a framework for the review of a range of administrative decisions, includ</w:t>
      </w:r>
      <w:r w:rsidR="0084419E">
        <w:rPr>
          <w:rFonts w:cstheme="minorHAnsi"/>
        </w:rPr>
        <w:t>ing</w:t>
      </w:r>
      <w:r w:rsidRPr="00F57987">
        <w:rPr>
          <w:rFonts w:cstheme="minorHAnsi"/>
        </w:rPr>
        <w:t xml:space="preserve"> a process for review by the Minister or, if delegated, an internal reviewer. Internal review decisions are subject to review by the Administrative </w:t>
      </w:r>
      <w:r w:rsidR="00DA06A2">
        <w:rPr>
          <w:rFonts w:cstheme="minorHAnsi"/>
        </w:rPr>
        <w:t xml:space="preserve">Review </w:t>
      </w:r>
      <w:r w:rsidRPr="00F57987">
        <w:rPr>
          <w:rFonts w:cstheme="minorHAnsi"/>
        </w:rPr>
        <w:t>Tribunal in accordance with the</w:t>
      </w:r>
      <w:r w:rsidR="005C5B69">
        <w:rPr>
          <w:rFonts w:cstheme="minorHAnsi"/>
        </w:rPr>
        <w:t xml:space="preserve"> </w:t>
      </w:r>
      <w:hyperlink r:id="rId47" w:history="1">
        <w:r w:rsidR="005C5B69" w:rsidRPr="005A739F">
          <w:rPr>
            <w:rStyle w:val="Hyperlink"/>
            <w:rFonts w:cstheme="minorHAnsi"/>
            <w:i/>
            <w:iCs/>
          </w:rPr>
          <w:t>Administrative Review Tribunal Act 2024</w:t>
        </w:r>
      </w:hyperlink>
      <w:r w:rsidRPr="00F57987">
        <w:rPr>
          <w:rFonts w:cstheme="minorHAnsi"/>
        </w:rPr>
        <w:t>.</w:t>
      </w:r>
      <w:r w:rsidR="004B4E49" w:rsidRPr="004B4E49">
        <w:rPr>
          <w:rFonts w:ascii="Segoe UI" w:eastAsia="Times New Roman" w:hAnsi="Segoe UI" w:cs="Segoe UI"/>
          <w:color w:val="313131"/>
          <w:sz w:val="24"/>
          <w:szCs w:val="24"/>
          <w:lang w:eastAsia="en-AU"/>
        </w:rPr>
        <w:t xml:space="preserve"> </w:t>
      </w:r>
    </w:p>
    <w:p w14:paraId="40B5E05D" w14:textId="77777777" w:rsidR="00D37A37" w:rsidRDefault="00D37A37" w:rsidP="00D37A37">
      <w:pPr>
        <w:rPr>
          <w:rFonts w:cstheme="minorHAnsi"/>
        </w:rPr>
      </w:pPr>
      <w:r w:rsidRPr="00F57987">
        <w:rPr>
          <w:rFonts w:cstheme="minorHAnsi"/>
        </w:rPr>
        <w:t xml:space="preserve">The </w:t>
      </w:r>
      <w:hyperlink r:id="rId48" w:history="1">
        <w:r w:rsidRPr="00F57987">
          <w:rPr>
            <w:rStyle w:val="Hyperlink"/>
            <w:rFonts w:cstheme="minorHAnsi"/>
            <w:i/>
          </w:rPr>
          <w:t>Administrative Decisions (Judicial Review) Act 2017</w:t>
        </w:r>
      </w:hyperlink>
      <w:r w:rsidRPr="00F57987">
        <w:rPr>
          <w:rFonts w:cstheme="minorHAnsi"/>
          <w:i/>
        </w:rPr>
        <w:t xml:space="preserve"> </w:t>
      </w:r>
      <w:r w:rsidRPr="00F57987">
        <w:rPr>
          <w:rFonts w:cstheme="minorHAnsi"/>
          <w:iCs/>
        </w:rPr>
        <w:t xml:space="preserve">also </w:t>
      </w:r>
      <w:r w:rsidRPr="00F57987">
        <w:rPr>
          <w:rFonts w:cstheme="minorHAnsi"/>
        </w:rPr>
        <w:t xml:space="preserve">provides for decisions to be subject to judicial review unless prescribed as exempt. </w:t>
      </w:r>
    </w:p>
    <w:sectPr w:rsidR="00D37A37" w:rsidSect="000853AE">
      <w:headerReference w:type="even" r:id="rId49"/>
      <w:headerReference w:type="default" r:id="rId50"/>
      <w:footerReference w:type="even" r:id="rId51"/>
      <w:footerReference w:type="default" r:id="rId52"/>
      <w:headerReference w:type="first" r:id="rId53"/>
      <w:footerReference w:type="first" r:id="rId54"/>
      <w:pgSz w:w="11906" w:h="16838"/>
      <w:pgMar w:top="1276"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C201" w14:textId="77777777" w:rsidR="00B35049" w:rsidRDefault="00B35049" w:rsidP="00D37A37">
      <w:pPr>
        <w:spacing w:after="0" w:line="240" w:lineRule="auto"/>
      </w:pPr>
      <w:r>
        <w:separator/>
      </w:r>
    </w:p>
  </w:endnote>
  <w:endnote w:type="continuationSeparator" w:id="0">
    <w:p w14:paraId="17BBEFA8" w14:textId="77777777" w:rsidR="00B35049" w:rsidRDefault="00B35049" w:rsidP="00D3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B3DA" w14:textId="6B275BBE" w:rsidR="008B509B" w:rsidRDefault="008B509B">
    <w:pPr>
      <w:pStyle w:val="Footer"/>
    </w:pPr>
    <w:r>
      <w:rPr>
        <w:noProof/>
      </w:rPr>
      <mc:AlternateContent>
        <mc:Choice Requires="wps">
          <w:drawing>
            <wp:anchor distT="0" distB="0" distL="0" distR="0" simplePos="0" relativeHeight="251662336" behindDoc="0" locked="0" layoutInCell="1" allowOverlap="1" wp14:anchorId="5FF77EC8" wp14:editId="5B93F67B">
              <wp:simplePos x="635" y="635"/>
              <wp:positionH relativeFrom="page">
                <wp:align>center</wp:align>
              </wp:positionH>
              <wp:positionV relativeFrom="page">
                <wp:align>bottom</wp:align>
              </wp:positionV>
              <wp:extent cx="551815" cy="404495"/>
              <wp:effectExtent l="0" t="0" r="635" b="0"/>
              <wp:wrapNone/>
              <wp:docPr id="10319061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F52513" w14:textId="659C2BD5"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77EC8"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6F52513" w14:textId="659C2BD5"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4E94" w14:textId="12C4F5A3" w:rsidR="008B509B" w:rsidRDefault="008B509B" w:rsidP="00D37A37">
    <w:pPr>
      <w:pStyle w:val="Footer"/>
      <w:rPr>
        <w:i/>
        <w:iCs/>
      </w:rPr>
    </w:pPr>
    <w:r>
      <w:rPr>
        <w:i/>
        <w:iCs/>
        <w:noProof/>
      </w:rPr>
      <mc:AlternateContent>
        <mc:Choice Requires="wps">
          <w:drawing>
            <wp:anchor distT="0" distB="0" distL="0" distR="0" simplePos="0" relativeHeight="251663360" behindDoc="0" locked="0" layoutInCell="1" allowOverlap="1" wp14:anchorId="46F8DBCB" wp14:editId="6C749A33">
              <wp:simplePos x="914400" y="9733935"/>
              <wp:positionH relativeFrom="page">
                <wp:align>center</wp:align>
              </wp:positionH>
              <wp:positionV relativeFrom="page">
                <wp:align>bottom</wp:align>
              </wp:positionV>
              <wp:extent cx="551815" cy="404495"/>
              <wp:effectExtent l="0" t="0" r="635" b="0"/>
              <wp:wrapNone/>
              <wp:docPr id="2059838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80781E" w14:textId="018D025A"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8DBCB"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E80781E" w14:textId="018D025A"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v:textbox>
              <w10:wrap anchorx="page" anchory="page"/>
            </v:shape>
          </w:pict>
        </mc:Fallback>
      </mc:AlternateContent>
    </w:r>
  </w:p>
  <w:sdt>
    <w:sdtPr>
      <w:rPr>
        <w:i/>
        <w:iCs/>
      </w:rPr>
      <w:id w:val="-546308250"/>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p w14:paraId="145E2998" w14:textId="199FD5F1" w:rsidR="00D37A37" w:rsidRDefault="00D37A37" w:rsidP="00D37A37">
            <w:pPr>
              <w:pStyle w:val="Footer"/>
              <w:rPr>
                <w:i/>
                <w:iCs/>
              </w:rPr>
            </w:pPr>
          </w:p>
          <w:p w14:paraId="76379ACA" w14:textId="29F08DA8" w:rsidR="00D37A37" w:rsidRPr="00D37A37" w:rsidRDefault="00D37A37" w:rsidP="00D37A37">
            <w:pPr>
              <w:pStyle w:val="Footer"/>
              <w:rPr>
                <w:i/>
                <w:iCs/>
              </w:rPr>
            </w:pPr>
            <w:r w:rsidRPr="00D37A37">
              <w:rPr>
                <w:i/>
                <w:iCs/>
              </w:rPr>
              <w:t>Compliance and Enforcement Framework 202</w:t>
            </w:r>
            <w:r w:rsidR="00C40F62">
              <w:rPr>
                <w:i/>
                <w:iCs/>
              </w:rPr>
              <w:t>5</w:t>
            </w:r>
            <w:r w:rsidRPr="00D37A37">
              <w:rPr>
                <w:i/>
                <w:iCs/>
              </w:rPr>
              <w:t xml:space="preserve"> – 202</w:t>
            </w:r>
            <w:r w:rsidR="00C40F62">
              <w:rPr>
                <w:i/>
                <w:iCs/>
              </w:rPr>
              <w:t>8</w:t>
            </w:r>
            <w:r w:rsidRPr="00D37A37">
              <w:rPr>
                <w:i/>
                <w:iCs/>
              </w:rPr>
              <w:t>, Version 1.0</w:t>
            </w:r>
            <w:r w:rsidRPr="00D37A37">
              <w:rPr>
                <w:i/>
                <w:iCs/>
              </w:rPr>
              <w:tab/>
              <w:t xml:space="preserve">Page </w:t>
            </w:r>
            <w:r w:rsidRPr="00D37A37">
              <w:rPr>
                <w:i/>
                <w:iCs/>
              </w:rPr>
              <w:fldChar w:fldCharType="begin"/>
            </w:r>
            <w:r w:rsidRPr="00D37A37">
              <w:rPr>
                <w:i/>
                <w:iCs/>
              </w:rPr>
              <w:instrText xml:space="preserve"> PAGE </w:instrText>
            </w:r>
            <w:r w:rsidRPr="00D37A37">
              <w:rPr>
                <w:i/>
                <w:iCs/>
              </w:rPr>
              <w:fldChar w:fldCharType="separate"/>
            </w:r>
            <w:r w:rsidRPr="00D37A37">
              <w:rPr>
                <w:i/>
                <w:iCs/>
                <w:noProof/>
              </w:rPr>
              <w:t>2</w:t>
            </w:r>
            <w:r w:rsidRPr="00D37A37">
              <w:rPr>
                <w:i/>
                <w:iCs/>
              </w:rPr>
              <w:fldChar w:fldCharType="end"/>
            </w:r>
            <w:r w:rsidRPr="00D37A37">
              <w:rPr>
                <w:i/>
                <w:iCs/>
              </w:rPr>
              <w:t xml:space="preserve"> of </w:t>
            </w:r>
            <w:r w:rsidRPr="00D37A37">
              <w:rPr>
                <w:i/>
                <w:iCs/>
              </w:rPr>
              <w:fldChar w:fldCharType="begin"/>
            </w:r>
            <w:r w:rsidRPr="00D37A37">
              <w:rPr>
                <w:i/>
                <w:iCs/>
              </w:rPr>
              <w:instrText xml:space="preserve"> NUMPAGES  </w:instrText>
            </w:r>
            <w:r w:rsidRPr="00D37A37">
              <w:rPr>
                <w:i/>
                <w:iCs/>
              </w:rPr>
              <w:fldChar w:fldCharType="separate"/>
            </w:r>
            <w:r w:rsidRPr="00D37A37">
              <w:rPr>
                <w:i/>
                <w:iCs/>
                <w:noProof/>
              </w:rPr>
              <w:t>2</w:t>
            </w:r>
            <w:r w:rsidRPr="00D37A37">
              <w:rPr>
                <w:i/>
                <w:i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17C5" w14:textId="48EE5E02" w:rsidR="008B509B" w:rsidRDefault="008B509B">
    <w:pPr>
      <w:pStyle w:val="Footer"/>
    </w:pPr>
    <w:r>
      <w:rPr>
        <w:noProof/>
      </w:rPr>
      <mc:AlternateContent>
        <mc:Choice Requires="wps">
          <w:drawing>
            <wp:anchor distT="0" distB="0" distL="0" distR="0" simplePos="0" relativeHeight="251661312" behindDoc="0" locked="0" layoutInCell="1" allowOverlap="1" wp14:anchorId="7B9954F4" wp14:editId="09C661CD">
              <wp:simplePos x="635" y="635"/>
              <wp:positionH relativeFrom="page">
                <wp:align>center</wp:align>
              </wp:positionH>
              <wp:positionV relativeFrom="page">
                <wp:align>bottom</wp:align>
              </wp:positionV>
              <wp:extent cx="551815" cy="404495"/>
              <wp:effectExtent l="0" t="0" r="635" b="0"/>
              <wp:wrapNone/>
              <wp:docPr id="19154128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CE8D8E2" w14:textId="6BD5352F"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954F4"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CE8D8E2" w14:textId="6BD5352F"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435C" w14:textId="77777777" w:rsidR="00B35049" w:rsidRDefault="00B35049" w:rsidP="00D37A37">
      <w:pPr>
        <w:spacing w:after="0" w:line="240" w:lineRule="auto"/>
      </w:pPr>
      <w:r>
        <w:separator/>
      </w:r>
    </w:p>
  </w:footnote>
  <w:footnote w:type="continuationSeparator" w:id="0">
    <w:p w14:paraId="7E244FA2" w14:textId="77777777" w:rsidR="00B35049" w:rsidRDefault="00B35049" w:rsidP="00D37A37">
      <w:pPr>
        <w:spacing w:after="0" w:line="240" w:lineRule="auto"/>
      </w:pPr>
      <w:r>
        <w:continuationSeparator/>
      </w:r>
    </w:p>
  </w:footnote>
  <w:footnote w:id="1">
    <w:p w14:paraId="17F1C67C" w14:textId="77777777" w:rsidR="00B948D4" w:rsidRDefault="00B948D4" w:rsidP="00B948D4">
      <w:pPr>
        <w:pStyle w:val="FootnoteText"/>
      </w:pPr>
      <w:r>
        <w:rPr>
          <w:rStyle w:val="FootnoteReference"/>
        </w:rPr>
        <w:footnoteRef/>
      </w:r>
      <w:r>
        <w:t xml:space="preserve"> In this document any expressions used to denote persons generally (such as “person”, “party”, “someone” etc), includes a body politic or corporation as well as an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C35F" w14:textId="0EF05561" w:rsidR="008B509B" w:rsidRDefault="008B509B">
    <w:pPr>
      <w:pStyle w:val="Header"/>
    </w:pPr>
    <w:r>
      <w:rPr>
        <w:noProof/>
      </w:rPr>
      <mc:AlternateContent>
        <mc:Choice Requires="wps">
          <w:drawing>
            <wp:anchor distT="0" distB="0" distL="0" distR="0" simplePos="0" relativeHeight="251659264" behindDoc="0" locked="0" layoutInCell="1" allowOverlap="1" wp14:anchorId="350817CC" wp14:editId="2DFBB869">
              <wp:simplePos x="635" y="635"/>
              <wp:positionH relativeFrom="page">
                <wp:align>center</wp:align>
              </wp:positionH>
              <wp:positionV relativeFrom="page">
                <wp:align>top</wp:align>
              </wp:positionV>
              <wp:extent cx="551815" cy="404495"/>
              <wp:effectExtent l="0" t="0" r="635" b="14605"/>
              <wp:wrapNone/>
              <wp:docPr id="3150791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D50828" w14:textId="5EA6BBF3"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817CC"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3D50828" w14:textId="5EA6BBF3"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E0FE" w14:textId="5A40F04B" w:rsidR="0083289F" w:rsidRPr="0083289F" w:rsidRDefault="008B509B" w:rsidP="008B509B">
    <w:pPr>
      <w:pStyle w:val="Header"/>
      <w:rPr>
        <w:rFonts w:ascii="Arial" w:hAnsi="Arial" w:cs="Arial"/>
        <w:b/>
        <w:bCs/>
        <w:color w:val="FF0000"/>
      </w:rPr>
    </w:pPr>
    <w:r>
      <w:rPr>
        <w:rFonts w:ascii="Arial" w:hAnsi="Arial" w:cs="Arial"/>
        <w:b/>
        <w:bCs/>
        <w:noProof/>
        <w:color w:val="FF0000"/>
      </w:rPr>
      <mc:AlternateContent>
        <mc:Choice Requires="wps">
          <w:drawing>
            <wp:anchor distT="0" distB="0" distL="0" distR="0" simplePos="0" relativeHeight="251660288" behindDoc="0" locked="0" layoutInCell="1" allowOverlap="1" wp14:anchorId="566F8B03" wp14:editId="490326FC">
              <wp:simplePos x="914400" y="452284"/>
              <wp:positionH relativeFrom="page">
                <wp:align>center</wp:align>
              </wp:positionH>
              <wp:positionV relativeFrom="page">
                <wp:align>top</wp:align>
              </wp:positionV>
              <wp:extent cx="551815" cy="404495"/>
              <wp:effectExtent l="0" t="0" r="635" b="14605"/>
              <wp:wrapNone/>
              <wp:docPr id="1512972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F9F69FF" w14:textId="51B2516C"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F8B03"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F9F69FF" w14:textId="51B2516C"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8504" w14:textId="50A5DFD8" w:rsidR="00D37A37" w:rsidRDefault="008B509B">
    <w:pPr>
      <w:pStyle w:val="Header"/>
    </w:pPr>
    <w:r>
      <w:rPr>
        <w:noProof/>
      </w:rPr>
      <mc:AlternateContent>
        <mc:Choice Requires="wps">
          <w:drawing>
            <wp:anchor distT="0" distB="0" distL="0" distR="0" simplePos="0" relativeHeight="251658240" behindDoc="0" locked="0" layoutInCell="1" allowOverlap="1" wp14:anchorId="5B2684F9" wp14:editId="3585C39A">
              <wp:simplePos x="635" y="635"/>
              <wp:positionH relativeFrom="page">
                <wp:align>center</wp:align>
              </wp:positionH>
              <wp:positionV relativeFrom="page">
                <wp:align>top</wp:align>
              </wp:positionV>
              <wp:extent cx="551815" cy="404495"/>
              <wp:effectExtent l="0" t="0" r="635" b="14605"/>
              <wp:wrapNone/>
              <wp:docPr id="16547178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1DEA66" w14:textId="6DB6227E"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684F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31DEA66" w14:textId="6DB6227E" w:rsidR="008B509B" w:rsidRPr="008B509B" w:rsidRDefault="008B509B" w:rsidP="008B509B">
                    <w:pPr>
                      <w:spacing w:after="0"/>
                      <w:rPr>
                        <w:rFonts w:ascii="Calibri" w:eastAsia="Calibri" w:hAnsi="Calibri" w:cs="Calibri"/>
                        <w:noProof/>
                        <w:color w:val="FF0000"/>
                        <w:sz w:val="24"/>
                        <w:szCs w:val="24"/>
                      </w:rPr>
                    </w:pPr>
                    <w:r w:rsidRPr="008B509B">
                      <w:rPr>
                        <w:rFonts w:ascii="Calibri" w:eastAsia="Calibri" w:hAnsi="Calibri" w:cs="Calibri"/>
                        <w:noProof/>
                        <w:color w:val="FF0000"/>
                        <w:sz w:val="24"/>
                        <w:szCs w:val="24"/>
                      </w:rPr>
                      <w:t>OFFICIAL</w:t>
                    </w:r>
                  </w:p>
                </w:txbxContent>
              </v:textbox>
              <w10:wrap anchorx="page" anchory="page"/>
            </v:shape>
          </w:pict>
        </mc:Fallback>
      </mc:AlternateContent>
    </w:r>
    <w:r w:rsidR="0033432F">
      <w:rPr>
        <w:noProof/>
      </w:rPr>
      <w:drawing>
        <wp:inline distT="0" distB="0" distL="0" distR="0" wp14:anchorId="081E31D0" wp14:editId="0969AFDD">
          <wp:extent cx="3390900" cy="685800"/>
          <wp:effectExtent l="0" t="0" r="0" b="0"/>
          <wp:docPr id="842722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17653"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8381" cy="6873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7EF90C"/>
    <w:lvl w:ilvl="0">
      <w:numFmt w:val="bullet"/>
      <w:pStyle w:val="ListBullet"/>
      <w:lvlText w:val="•"/>
      <w:lvlJc w:val="left"/>
      <w:pPr>
        <w:ind w:left="786" w:hanging="360"/>
      </w:pPr>
      <w:rPr>
        <w:rFonts w:ascii="Calibri" w:eastAsia="Times New Roman" w:hAnsi="Calibri" w:cs="Calibri" w:hint="default"/>
        <w:color w:val="auto"/>
      </w:rPr>
    </w:lvl>
  </w:abstractNum>
  <w:abstractNum w:abstractNumId="1" w15:restartNumberingAfterBreak="0">
    <w:nsid w:val="013F6AB7"/>
    <w:multiLevelType w:val="hybridMultilevel"/>
    <w:tmpl w:val="4026534E"/>
    <w:lvl w:ilvl="0" w:tplc="97C6F29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D2B0E"/>
    <w:multiLevelType w:val="hybridMultilevel"/>
    <w:tmpl w:val="D342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66B0B"/>
    <w:multiLevelType w:val="multilevel"/>
    <w:tmpl w:val="98C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43C63"/>
    <w:multiLevelType w:val="hybridMultilevel"/>
    <w:tmpl w:val="B8C4AF68"/>
    <w:lvl w:ilvl="0" w:tplc="D512B176">
      <w:start w:val="9"/>
      <w:numFmt w:val="bullet"/>
      <w:lvlText w:val=""/>
      <w:lvlJc w:val="left"/>
      <w:pPr>
        <w:ind w:left="360" w:hanging="360"/>
      </w:pPr>
      <w:rPr>
        <w:rFonts w:ascii="Symbol" w:eastAsia="Times New Roman"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D37ADC"/>
    <w:multiLevelType w:val="multilevel"/>
    <w:tmpl w:val="59C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80EF8"/>
    <w:multiLevelType w:val="hybridMultilevel"/>
    <w:tmpl w:val="EA4A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A61256"/>
    <w:multiLevelType w:val="hybridMultilevel"/>
    <w:tmpl w:val="665C4DD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BAB69C2"/>
    <w:multiLevelType w:val="hybridMultilevel"/>
    <w:tmpl w:val="FFE83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F1C62"/>
    <w:multiLevelType w:val="multilevel"/>
    <w:tmpl w:val="10E206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343B78CD"/>
    <w:multiLevelType w:val="hybridMultilevel"/>
    <w:tmpl w:val="2A487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97006B"/>
    <w:multiLevelType w:val="hybridMultilevel"/>
    <w:tmpl w:val="78EA4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3B156D"/>
    <w:multiLevelType w:val="multilevel"/>
    <w:tmpl w:val="7878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5657E"/>
    <w:multiLevelType w:val="multilevel"/>
    <w:tmpl w:val="A6B2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D94152"/>
    <w:multiLevelType w:val="multilevel"/>
    <w:tmpl w:val="67E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2B12B2"/>
    <w:multiLevelType w:val="hybridMultilevel"/>
    <w:tmpl w:val="C898FAB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 w15:restartNumberingAfterBreak="0">
    <w:nsid w:val="4AA900D3"/>
    <w:multiLevelType w:val="hybridMultilevel"/>
    <w:tmpl w:val="C39491E4"/>
    <w:lvl w:ilvl="0" w:tplc="7124FEF0">
      <w:start w:val="1"/>
      <w:numFmt w:val="bullet"/>
      <w:lvlText w:val=""/>
      <w:lvlJc w:val="left"/>
      <w:pPr>
        <w:ind w:left="720" w:hanging="360"/>
      </w:pPr>
      <w:rPr>
        <w:rFonts w:ascii="Symbol" w:eastAsia="Times New Roman" w:hAnsi="Symbol" w:cstheme="minorHAnsi" w:hint="default"/>
        <w:i w:val="0"/>
        <w:i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4F4296"/>
    <w:multiLevelType w:val="hybridMultilevel"/>
    <w:tmpl w:val="7B90B3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4F9F5930"/>
    <w:multiLevelType w:val="hybridMultilevel"/>
    <w:tmpl w:val="8618D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9765F"/>
    <w:multiLevelType w:val="hybridMultilevel"/>
    <w:tmpl w:val="F942F612"/>
    <w:lvl w:ilvl="0" w:tplc="7124FEF0">
      <w:start w:val="1"/>
      <w:numFmt w:val="bullet"/>
      <w:lvlText w:val=""/>
      <w:lvlJc w:val="left"/>
      <w:pPr>
        <w:ind w:left="1080" w:hanging="360"/>
      </w:pPr>
      <w:rPr>
        <w:rFonts w:ascii="Symbol" w:eastAsia="Times New Roman" w:hAnsi="Symbol" w:cstheme="minorHAnsi" w:hint="default"/>
        <w:i w:val="0"/>
        <w:iCs/>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5E78B7"/>
    <w:multiLevelType w:val="multilevel"/>
    <w:tmpl w:val="D20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8A6EED"/>
    <w:multiLevelType w:val="multilevel"/>
    <w:tmpl w:val="A14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2AF6"/>
    <w:multiLevelType w:val="hybridMultilevel"/>
    <w:tmpl w:val="CA54B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630852"/>
    <w:multiLevelType w:val="hybridMultilevel"/>
    <w:tmpl w:val="D522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E743B"/>
    <w:multiLevelType w:val="multilevel"/>
    <w:tmpl w:val="8CF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80BC2"/>
    <w:multiLevelType w:val="hybridMultilevel"/>
    <w:tmpl w:val="99002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EC7904"/>
    <w:multiLevelType w:val="hybridMultilevel"/>
    <w:tmpl w:val="AB5C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D125C3"/>
    <w:multiLevelType w:val="hybridMultilevel"/>
    <w:tmpl w:val="A4609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EE0F88"/>
    <w:multiLevelType w:val="multilevel"/>
    <w:tmpl w:val="1718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18450">
    <w:abstractNumId w:val="26"/>
  </w:num>
  <w:num w:numId="2" w16cid:durableId="1412967829">
    <w:abstractNumId w:val="2"/>
  </w:num>
  <w:num w:numId="3" w16cid:durableId="444662034">
    <w:abstractNumId w:val="16"/>
  </w:num>
  <w:num w:numId="4" w16cid:durableId="1728532966">
    <w:abstractNumId w:val="6"/>
  </w:num>
  <w:num w:numId="5" w16cid:durableId="1091050097">
    <w:abstractNumId w:val="19"/>
  </w:num>
  <w:num w:numId="6" w16cid:durableId="497118316">
    <w:abstractNumId w:val="1"/>
  </w:num>
  <w:num w:numId="7" w16cid:durableId="199099527">
    <w:abstractNumId w:val="8"/>
  </w:num>
  <w:num w:numId="8" w16cid:durableId="117575932">
    <w:abstractNumId w:val="15"/>
  </w:num>
  <w:num w:numId="9" w16cid:durableId="1497307869">
    <w:abstractNumId w:val="4"/>
  </w:num>
  <w:num w:numId="10" w16cid:durableId="13465187">
    <w:abstractNumId w:val="21"/>
  </w:num>
  <w:num w:numId="11" w16cid:durableId="760218470">
    <w:abstractNumId w:val="24"/>
  </w:num>
  <w:num w:numId="12" w16cid:durableId="1277831865">
    <w:abstractNumId w:val="3"/>
  </w:num>
  <w:num w:numId="13" w16cid:durableId="497575112">
    <w:abstractNumId w:val="12"/>
  </w:num>
  <w:num w:numId="14" w16cid:durableId="2064404287">
    <w:abstractNumId w:val="11"/>
  </w:num>
  <w:num w:numId="15" w16cid:durableId="990986775">
    <w:abstractNumId w:val="0"/>
  </w:num>
  <w:num w:numId="16" w16cid:durableId="41710741">
    <w:abstractNumId w:val="25"/>
  </w:num>
  <w:num w:numId="17" w16cid:durableId="1263414138">
    <w:abstractNumId w:val="13"/>
  </w:num>
  <w:num w:numId="18" w16cid:durableId="1441143428">
    <w:abstractNumId w:val="5"/>
  </w:num>
  <w:num w:numId="19" w16cid:durableId="2104453098">
    <w:abstractNumId w:val="14"/>
  </w:num>
  <w:num w:numId="20" w16cid:durableId="1376199300">
    <w:abstractNumId w:val="20"/>
  </w:num>
  <w:num w:numId="21" w16cid:durableId="741945492">
    <w:abstractNumId w:val="28"/>
  </w:num>
  <w:num w:numId="22" w16cid:durableId="221599701">
    <w:abstractNumId w:val="17"/>
  </w:num>
  <w:num w:numId="23" w16cid:durableId="884215310">
    <w:abstractNumId w:val="22"/>
  </w:num>
  <w:num w:numId="24" w16cid:durableId="1256789794">
    <w:abstractNumId w:val="9"/>
  </w:num>
  <w:num w:numId="25" w16cid:durableId="1013410804">
    <w:abstractNumId w:val="10"/>
  </w:num>
  <w:num w:numId="26" w16cid:durableId="171727720">
    <w:abstractNumId w:val="23"/>
  </w:num>
  <w:num w:numId="27" w16cid:durableId="150605923">
    <w:abstractNumId w:val="18"/>
  </w:num>
  <w:num w:numId="28" w16cid:durableId="1783188588">
    <w:abstractNumId w:val="7"/>
  </w:num>
  <w:num w:numId="29" w16cid:durableId="7640330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37"/>
    <w:rsid w:val="00000A5D"/>
    <w:rsid w:val="0001100C"/>
    <w:rsid w:val="00017464"/>
    <w:rsid w:val="00021498"/>
    <w:rsid w:val="0002174F"/>
    <w:rsid w:val="000258D3"/>
    <w:rsid w:val="00034DBF"/>
    <w:rsid w:val="00052760"/>
    <w:rsid w:val="000548AB"/>
    <w:rsid w:val="00064996"/>
    <w:rsid w:val="00065B00"/>
    <w:rsid w:val="0006613D"/>
    <w:rsid w:val="00071BA0"/>
    <w:rsid w:val="000763C8"/>
    <w:rsid w:val="00076A2C"/>
    <w:rsid w:val="00077212"/>
    <w:rsid w:val="00082892"/>
    <w:rsid w:val="000853AE"/>
    <w:rsid w:val="00091D78"/>
    <w:rsid w:val="00094505"/>
    <w:rsid w:val="000A30CB"/>
    <w:rsid w:val="000B2A18"/>
    <w:rsid w:val="000C7987"/>
    <w:rsid w:val="000D0A1C"/>
    <w:rsid w:val="000D3D0A"/>
    <w:rsid w:val="000E2355"/>
    <w:rsid w:val="000E6B0B"/>
    <w:rsid w:val="000F10D6"/>
    <w:rsid w:val="000F6172"/>
    <w:rsid w:val="00116FC6"/>
    <w:rsid w:val="001321AF"/>
    <w:rsid w:val="00132970"/>
    <w:rsid w:val="00142303"/>
    <w:rsid w:val="00147253"/>
    <w:rsid w:val="001571FA"/>
    <w:rsid w:val="00165841"/>
    <w:rsid w:val="001710CB"/>
    <w:rsid w:val="001725D3"/>
    <w:rsid w:val="001729C4"/>
    <w:rsid w:val="00176C19"/>
    <w:rsid w:val="00182D8C"/>
    <w:rsid w:val="001A1D76"/>
    <w:rsid w:val="001A271E"/>
    <w:rsid w:val="001A3B0E"/>
    <w:rsid w:val="001B5998"/>
    <w:rsid w:val="001C5B35"/>
    <w:rsid w:val="001D0B47"/>
    <w:rsid w:val="001D38B7"/>
    <w:rsid w:val="001D4EFD"/>
    <w:rsid w:val="001E43E6"/>
    <w:rsid w:val="001E4BBA"/>
    <w:rsid w:val="001F3379"/>
    <w:rsid w:val="001F37C6"/>
    <w:rsid w:val="001F535B"/>
    <w:rsid w:val="001F7A55"/>
    <w:rsid w:val="00203D47"/>
    <w:rsid w:val="00204400"/>
    <w:rsid w:val="0021058F"/>
    <w:rsid w:val="002108E2"/>
    <w:rsid w:val="002141C1"/>
    <w:rsid w:val="00214B0E"/>
    <w:rsid w:val="002158FF"/>
    <w:rsid w:val="00217447"/>
    <w:rsid w:val="002378E4"/>
    <w:rsid w:val="00244363"/>
    <w:rsid w:val="002471BC"/>
    <w:rsid w:val="0026158D"/>
    <w:rsid w:val="00261BB9"/>
    <w:rsid w:val="002621E6"/>
    <w:rsid w:val="002623D7"/>
    <w:rsid w:val="00262EDC"/>
    <w:rsid w:val="00265047"/>
    <w:rsid w:val="002651D1"/>
    <w:rsid w:val="002719FF"/>
    <w:rsid w:val="00280050"/>
    <w:rsid w:val="002807BC"/>
    <w:rsid w:val="0028184D"/>
    <w:rsid w:val="00284489"/>
    <w:rsid w:val="00287942"/>
    <w:rsid w:val="00291564"/>
    <w:rsid w:val="002A38DE"/>
    <w:rsid w:val="002C2B16"/>
    <w:rsid w:val="002C4457"/>
    <w:rsid w:val="002C5A6C"/>
    <w:rsid w:val="002D1229"/>
    <w:rsid w:val="002D1D0D"/>
    <w:rsid w:val="002E1899"/>
    <w:rsid w:val="002E705E"/>
    <w:rsid w:val="002E7550"/>
    <w:rsid w:val="002E7BE9"/>
    <w:rsid w:val="002F387B"/>
    <w:rsid w:val="002F4542"/>
    <w:rsid w:val="00301C1D"/>
    <w:rsid w:val="00303D83"/>
    <w:rsid w:val="003051FD"/>
    <w:rsid w:val="00316380"/>
    <w:rsid w:val="003165B7"/>
    <w:rsid w:val="00320299"/>
    <w:rsid w:val="003237B8"/>
    <w:rsid w:val="0033432F"/>
    <w:rsid w:val="00341450"/>
    <w:rsid w:val="00354627"/>
    <w:rsid w:val="00361C6D"/>
    <w:rsid w:val="00371B80"/>
    <w:rsid w:val="00377589"/>
    <w:rsid w:val="00377A2B"/>
    <w:rsid w:val="003840A4"/>
    <w:rsid w:val="003854B0"/>
    <w:rsid w:val="003A6737"/>
    <w:rsid w:val="003A799D"/>
    <w:rsid w:val="003B064D"/>
    <w:rsid w:val="003E08E2"/>
    <w:rsid w:val="003E5F27"/>
    <w:rsid w:val="003E7A57"/>
    <w:rsid w:val="003E7EB6"/>
    <w:rsid w:val="003F21D8"/>
    <w:rsid w:val="00401BDF"/>
    <w:rsid w:val="00402B58"/>
    <w:rsid w:val="004047B1"/>
    <w:rsid w:val="00411D77"/>
    <w:rsid w:val="0041311A"/>
    <w:rsid w:val="00414B97"/>
    <w:rsid w:val="00420125"/>
    <w:rsid w:val="00420FA9"/>
    <w:rsid w:val="00425FFB"/>
    <w:rsid w:val="004304FA"/>
    <w:rsid w:val="00433BC3"/>
    <w:rsid w:val="00434A2A"/>
    <w:rsid w:val="00435F41"/>
    <w:rsid w:val="004432A8"/>
    <w:rsid w:val="0044484D"/>
    <w:rsid w:val="004479FF"/>
    <w:rsid w:val="00465DCB"/>
    <w:rsid w:val="00467D71"/>
    <w:rsid w:val="0047389F"/>
    <w:rsid w:val="00473BB9"/>
    <w:rsid w:val="00474736"/>
    <w:rsid w:val="004864F2"/>
    <w:rsid w:val="00490536"/>
    <w:rsid w:val="00490968"/>
    <w:rsid w:val="0049153E"/>
    <w:rsid w:val="0049193E"/>
    <w:rsid w:val="0049731D"/>
    <w:rsid w:val="004A3601"/>
    <w:rsid w:val="004B4E49"/>
    <w:rsid w:val="004C1C85"/>
    <w:rsid w:val="004D2343"/>
    <w:rsid w:val="004E3E28"/>
    <w:rsid w:val="004F050A"/>
    <w:rsid w:val="004F474D"/>
    <w:rsid w:val="005117EA"/>
    <w:rsid w:val="00526E7D"/>
    <w:rsid w:val="00531DCD"/>
    <w:rsid w:val="00533AC3"/>
    <w:rsid w:val="00534727"/>
    <w:rsid w:val="005426F2"/>
    <w:rsid w:val="0054467D"/>
    <w:rsid w:val="00546EF0"/>
    <w:rsid w:val="00551312"/>
    <w:rsid w:val="00551E95"/>
    <w:rsid w:val="00561E1F"/>
    <w:rsid w:val="00576B15"/>
    <w:rsid w:val="00576E13"/>
    <w:rsid w:val="005776F7"/>
    <w:rsid w:val="0059068E"/>
    <w:rsid w:val="00591B51"/>
    <w:rsid w:val="00592987"/>
    <w:rsid w:val="00593DC1"/>
    <w:rsid w:val="0059452E"/>
    <w:rsid w:val="005A2931"/>
    <w:rsid w:val="005A739F"/>
    <w:rsid w:val="005A7C94"/>
    <w:rsid w:val="005A7E26"/>
    <w:rsid w:val="005B12B8"/>
    <w:rsid w:val="005C26E8"/>
    <w:rsid w:val="005C5B69"/>
    <w:rsid w:val="005E1349"/>
    <w:rsid w:val="005E6519"/>
    <w:rsid w:val="005F714E"/>
    <w:rsid w:val="005F7F61"/>
    <w:rsid w:val="006011D1"/>
    <w:rsid w:val="00602ECF"/>
    <w:rsid w:val="00611808"/>
    <w:rsid w:val="0061645A"/>
    <w:rsid w:val="00617F64"/>
    <w:rsid w:val="006251BE"/>
    <w:rsid w:val="006254F8"/>
    <w:rsid w:val="00633EE7"/>
    <w:rsid w:val="00640749"/>
    <w:rsid w:val="0064170A"/>
    <w:rsid w:val="006427A2"/>
    <w:rsid w:val="006457FC"/>
    <w:rsid w:val="006522D8"/>
    <w:rsid w:val="0065455E"/>
    <w:rsid w:val="00656B5A"/>
    <w:rsid w:val="006570D3"/>
    <w:rsid w:val="006574E0"/>
    <w:rsid w:val="0066240F"/>
    <w:rsid w:val="00662E6B"/>
    <w:rsid w:val="00663A42"/>
    <w:rsid w:val="006673CD"/>
    <w:rsid w:val="00675B5C"/>
    <w:rsid w:val="00681E34"/>
    <w:rsid w:val="0068581D"/>
    <w:rsid w:val="006A0758"/>
    <w:rsid w:val="006B45F4"/>
    <w:rsid w:val="006C34FA"/>
    <w:rsid w:val="006C3EEC"/>
    <w:rsid w:val="006D3C7E"/>
    <w:rsid w:val="006E1AC9"/>
    <w:rsid w:val="006E2B4A"/>
    <w:rsid w:val="006E2C5F"/>
    <w:rsid w:val="006E6CA3"/>
    <w:rsid w:val="00704049"/>
    <w:rsid w:val="00707CC0"/>
    <w:rsid w:val="00714278"/>
    <w:rsid w:val="007159AC"/>
    <w:rsid w:val="007166C1"/>
    <w:rsid w:val="00723FB4"/>
    <w:rsid w:val="00727807"/>
    <w:rsid w:val="00736955"/>
    <w:rsid w:val="0075230D"/>
    <w:rsid w:val="00753A39"/>
    <w:rsid w:val="0075585B"/>
    <w:rsid w:val="007651EE"/>
    <w:rsid w:val="007677CB"/>
    <w:rsid w:val="00781F28"/>
    <w:rsid w:val="00784570"/>
    <w:rsid w:val="00787FBA"/>
    <w:rsid w:val="00796B2B"/>
    <w:rsid w:val="007A1FDA"/>
    <w:rsid w:val="007A50A5"/>
    <w:rsid w:val="007B1189"/>
    <w:rsid w:val="007B578F"/>
    <w:rsid w:val="007B5CAA"/>
    <w:rsid w:val="007C1D13"/>
    <w:rsid w:val="007D6536"/>
    <w:rsid w:val="007E296D"/>
    <w:rsid w:val="007E2E66"/>
    <w:rsid w:val="007E3BFD"/>
    <w:rsid w:val="007F58CF"/>
    <w:rsid w:val="007F7299"/>
    <w:rsid w:val="007F790E"/>
    <w:rsid w:val="00802BF4"/>
    <w:rsid w:val="008032E0"/>
    <w:rsid w:val="00825462"/>
    <w:rsid w:val="008272A3"/>
    <w:rsid w:val="00827BF2"/>
    <w:rsid w:val="0083289F"/>
    <w:rsid w:val="0084084F"/>
    <w:rsid w:val="008414E0"/>
    <w:rsid w:val="00841E5E"/>
    <w:rsid w:val="0084419E"/>
    <w:rsid w:val="00844DF3"/>
    <w:rsid w:val="008462A6"/>
    <w:rsid w:val="00861ABF"/>
    <w:rsid w:val="00864BA1"/>
    <w:rsid w:val="008721E1"/>
    <w:rsid w:val="00874A17"/>
    <w:rsid w:val="00877354"/>
    <w:rsid w:val="008817F8"/>
    <w:rsid w:val="008864A0"/>
    <w:rsid w:val="008868A8"/>
    <w:rsid w:val="0088777D"/>
    <w:rsid w:val="008A7636"/>
    <w:rsid w:val="008B509B"/>
    <w:rsid w:val="008B6169"/>
    <w:rsid w:val="008C5116"/>
    <w:rsid w:val="008D26CF"/>
    <w:rsid w:val="008E4D55"/>
    <w:rsid w:val="008F24D8"/>
    <w:rsid w:val="00905266"/>
    <w:rsid w:val="0090641C"/>
    <w:rsid w:val="00911A78"/>
    <w:rsid w:val="00913C88"/>
    <w:rsid w:val="00916BDD"/>
    <w:rsid w:val="00922C27"/>
    <w:rsid w:val="00925776"/>
    <w:rsid w:val="00931856"/>
    <w:rsid w:val="00932986"/>
    <w:rsid w:val="009371EB"/>
    <w:rsid w:val="0094014A"/>
    <w:rsid w:val="0094192E"/>
    <w:rsid w:val="00946F7E"/>
    <w:rsid w:val="0096519D"/>
    <w:rsid w:val="00966449"/>
    <w:rsid w:val="0097000A"/>
    <w:rsid w:val="00987142"/>
    <w:rsid w:val="009949F3"/>
    <w:rsid w:val="009A380B"/>
    <w:rsid w:val="009A6E2D"/>
    <w:rsid w:val="009B22DF"/>
    <w:rsid w:val="009B2B99"/>
    <w:rsid w:val="009B7832"/>
    <w:rsid w:val="009C4217"/>
    <w:rsid w:val="009C568A"/>
    <w:rsid w:val="009E1595"/>
    <w:rsid w:val="009E1618"/>
    <w:rsid w:val="009F21CE"/>
    <w:rsid w:val="009F589E"/>
    <w:rsid w:val="009F7F22"/>
    <w:rsid w:val="00A0245B"/>
    <w:rsid w:val="00A02522"/>
    <w:rsid w:val="00A07830"/>
    <w:rsid w:val="00A11E14"/>
    <w:rsid w:val="00A14568"/>
    <w:rsid w:val="00A14FE2"/>
    <w:rsid w:val="00A21FF3"/>
    <w:rsid w:val="00A24F9D"/>
    <w:rsid w:val="00A37860"/>
    <w:rsid w:val="00A46B80"/>
    <w:rsid w:val="00A47C7D"/>
    <w:rsid w:val="00A57C49"/>
    <w:rsid w:val="00A61DD3"/>
    <w:rsid w:val="00A64B2C"/>
    <w:rsid w:val="00A66849"/>
    <w:rsid w:val="00A72380"/>
    <w:rsid w:val="00A8452D"/>
    <w:rsid w:val="00A900A2"/>
    <w:rsid w:val="00A94523"/>
    <w:rsid w:val="00AA2300"/>
    <w:rsid w:val="00AA5527"/>
    <w:rsid w:val="00AA6879"/>
    <w:rsid w:val="00AB18FA"/>
    <w:rsid w:val="00AB1EC9"/>
    <w:rsid w:val="00AD1EA7"/>
    <w:rsid w:val="00AD2D3A"/>
    <w:rsid w:val="00AD7F72"/>
    <w:rsid w:val="00AE69C8"/>
    <w:rsid w:val="00AE6C49"/>
    <w:rsid w:val="00AF3DAB"/>
    <w:rsid w:val="00AF486E"/>
    <w:rsid w:val="00AF4F9C"/>
    <w:rsid w:val="00AF7D53"/>
    <w:rsid w:val="00B02359"/>
    <w:rsid w:val="00B0520F"/>
    <w:rsid w:val="00B12158"/>
    <w:rsid w:val="00B15A2F"/>
    <w:rsid w:val="00B2561D"/>
    <w:rsid w:val="00B34959"/>
    <w:rsid w:val="00B35049"/>
    <w:rsid w:val="00B40EDD"/>
    <w:rsid w:val="00B4276A"/>
    <w:rsid w:val="00B43477"/>
    <w:rsid w:val="00B5307D"/>
    <w:rsid w:val="00B625A0"/>
    <w:rsid w:val="00B63341"/>
    <w:rsid w:val="00B72DB1"/>
    <w:rsid w:val="00B80DD3"/>
    <w:rsid w:val="00B83535"/>
    <w:rsid w:val="00B948D4"/>
    <w:rsid w:val="00B961DF"/>
    <w:rsid w:val="00BA14A6"/>
    <w:rsid w:val="00BB051A"/>
    <w:rsid w:val="00BB6C18"/>
    <w:rsid w:val="00BC1B71"/>
    <w:rsid w:val="00BC64EC"/>
    <w:rsid w:val="00BD23A4"/>
    <w:rsid w:val="00BD6B27"/>
    <w:rsid w:val="00BD73CC"/>
    <w:rsid w:val="00BF0A0C"/>
    <w:rsid w:val="00BF4580"/>
    <w:rsid w:val="00BF4BB2"/>
    <w:rsid w:val="00C046F7"/>
    <w:rsid w:val="00C051CD"/>
    <w:rsid w:val="00C113ED"/>
    <w:rsid w:val="00C13A3A"/>
    <w:rsid w:val="00C1743F"/>
    <w:rsid w:val="00C17747"/>
    <w:rsid w:val="00C23FE5"/>
    <w:rsid w:val="00C24A6F"/>
    <w:rsid w:val="00C304CE"/>
    <w:rsid w:val="00C35694"/>
    <w:rsid w:val="00C40F62"/>
    <w:rsid w:val="00C45321"/>
    <w:rsid w:val="00C45B2F"/>
    <w:rsid w:val="00C47BCD"/>
    <w:rsid w:val="00C557C4"/>
    <w:rsid w:val="00C6266A"/>
    <w:rsid w:val="00C650D1"/>
    <w:rsid w:val="00C65CD4"/>
    <w:rsid w:val="00C70A2C"/>
    <w:rsid w:val="00C72802"/>
    <w:rsid w:val="00C80314"/>
    <w:rsid w:val="00C80B81"/>
    <w:rsid w:val="00C91827"/>
    <w:rsid w:val="00C97FEF"/>
    <w:rsid w:val="00CA1471"/>
    <w:rsid w:val="00CA239F"/>
    <w:rsid w:val="00CB1076"/>
    <w:rsid w:val="00CB1CA7"/>
    <w:rsid w:val="00CB2F94"/>
    <w:rsid w:val="00CB3CDA"/>
    <w:rsid w:val="00CB65B8"/>
    <w:rsid w:val="00CD5EF9"/>
    <w:rsid w:val="00CD656B"/>
    <w:rsid w:val="00CE0450"/>
    <w:rsid w:val="00CE0CA1"/>
    <w:rsid w:val="00CF0C24"/>
    <w:rsid w:val="00CF1E9A"/>
    <w:rsid w:val="00CF7801"/>
    <w:rsid w:val="00D003B9"/>
    <w:rsid w:val="00D01083"/>
    <w:rsid w:val="00D027B9"/>
    <w:rsid w:val="00D02C97"/>
    <w:rsid w:val="00D04511"/>
    <w:rsid w:val="00D13923"/>
    <w:rsid w:val="00D14087"/>
    <w:rsid w:val="00D22488"/>
    <w:rsid w:val="00D23E2A"/>
    <w:rsid w:val="00D24E7B"/>
    <w:rsid w:val="00D26520"/>
    <w:rsid w:val="00D3037D"/>
    <w:rsid w:val="00D37A37"/>
    <w:rsid w:val="00D4333A"/>
    <w:rsid w:val="00D447A4"/>
    <w:rsid w:val="00D5559E"/>
    <w:rsid w:val="00D734EE"/>
    <w:rsid w:val="00D743EA"/>
    <w:rsid w:val="00D925A1"/>
    <w:rsid w:val="00D925C1"/>
    <w:rsid w:val="00D92F98"/>
    <w:rsid w:val="00D94DC8"/>
    <w:rsid w:val="00D95295"/>
    <w:rsid w:val="00DA06A2"/>
    <w:rsid w:val="00DA60E7"/>
    <w:rsid w:val="00DB15E4"/>
    <w:rsid w:val="00DB1A70"/>
    <w:rsid w:val="00DC1C0D"/>
    <w:rsid w:val="00DD6E64"/>
    <w:rsid w:val="00DE3CB8"/>
    <w:rsid w:val="00DE7790"/>
    <w:rsid w:val="00DF3B4C"/>
    <w:rsid w:val="00DF6BC4"/>
    <w:rsid w:val="00E063FC"/>
    <w:rsid w:val="00E06D65"/>
    <w:rsid w:val="00E10FC8"/>
    <w:rsid w:val="00E239B6"/>
    <w:rsid w:val="00E31C5E"/>
    <w:rsid w:val="00E412FE"/>
    <w:rsid w:val="00E4730B"/>
    <w:rsid w:val="00E473A7"/>
    <w:rsid w:val="00E474D8"/>
    <w:rsid w:val="00E705D4"/>
    <w:rsid w:val="00E73009"/>
    <w:rsid w:val="00E7458D"/>
    <w:rsid w:val="00E924B4"/>
    <w:rsid w:val="00E939C6"/>
    <w:rsid w:val="00E96048"/>
    <w:rsid w:val="00EA4D12"/>
    <w:rsid w:val="00EA6D73"/>
    <w:rsid w:val="00EB12B7"/>
    <w:rsid w:val="00EB6024"/>
    <w:rsid w:val="00EC1B67"/>
    <w:rsid w:val="00ED493D"/>
    <w:rsid w:val="00EE0AE1"/>
    <w:rsid w:val="00EE3853"/>
    <w:rsid w:val="00EE48EE"/>
    <w:rsid w:val="00EE4A69"/>
    <w:rsid w:val="00F00407"/>
    <w:rsid w:val="00F07549"/>
    <w:rsid w:val="00F07E11"/>
    <w:rsid w:val="00F103E5"/>
    <w:rsid w:val="00F14D6C"/>
    <w:rsid w:val="00F24C78"/>
    <w:rsid w:val="00F44DA8"/>
    <w:rsid w:val="00F452D0"/>
    <w:rsid w:val="00F47567"/>
    <w:rsid w:val="00F515C1"/>
    <w:rsid w:val="00F51FB5"/>
    <w:rsid w:val="00F57213"/>
    <w:rsid w:val="00F57987"/>
    <w:rsid w:val="00F63078"/>
    <w:rsid w:val="00F64F3E"/>
    <w:rsid w:val="00F66374"/>
    <w:rsid w:val="00F80196"/>
    <w:rsid w:val="00F82C60"/>
    <w:rsid w:val="00F84202"/>
    <w:rsid w:val="00FA1060"/>
    <w:rsid w:val="00FA1B5E"/>
    <w:rsid w:val="00FA1E04"/>
    <w:rsid w:val="00FA6A1C"/>
    <w:rsid w:val="00FA74AF"/>
    <w:rsid w:val="00FA76C6"/>
    <w:rsid w:val="00FA7ED8"/>
    <w:rsid w:val="00FC6B33"/>
    <w:rsid w:val="00FD39B7"/>
    <w:rsid w:val="00FD5292"/>
    <w:rsid w:val="00FE26C7"/>
    <w:rsid w:val="00FE75F0"/>
    <w:rsid w:val="00FF1B9E"/>
    <w:rsid w:val="00FF344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2598D"/>
  <w15:chartTrackingRefBased/>
  <w15:docId w15:val="{86BED4AB-3781-4EB9-BC7C-40507ECD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2F"/>
  </w:style>
  <w:style w:type="paragraph" w:styleId="Heading1">
    <w:name w:val="heading 1"/>
    <w:basedOn w:val="Normal"/>
    <w:next w:val="Paragraphtext"/>
    <w:link w:val="Heading1Char"/>
    <w:qFormat/>
    <w:rsid w:val="00D37A37"/>
    <w:pPr>
      <w:keepNext/>
      <w:spacing w:before="240" w:after="60" w:line="240" w:lineRule="auto"/>
      <w:outlineLvl w:val="0"/>
    </w:pPr>
    <w:rPr>
      <w:rFonts w:ascii="Arial" w:eastAsia="Times New Roman" w:hAnsi="Arial" w:cs="Arial"/>
      <w:bCs/>
      <w:color w:val="3F4A75"/>
      <w:kern w:val="28"/>
      <w:sz w:val="36"/>
      <w:szCs w:val="36"/>
      <w:lang w:eastAsia="en-AU"/>
    </w:rPr>
  </w:style>
  <w:style w:type="paragraph" w:styleId="Heading2">
    <w:name w:val="heading 2"/>
    <w:next w:val="Paragraphtext"/>
    <w:link w:val="Heading2Char"/>
    <w:qFormat/>
    <w:rsid w:val="00D37A37"/>
    <w:pPr>
      <w:keepNext/>
      <w:spacing w:before="240" w:after="60" w:line="240" w:lineRule="auto"/>
      <w:outlineLvl w:val="1"/>
    </w:pPr>
    <w:rPr>
      <w:rFonts w:ascii="Arial" w:eastAsia="Times New Roman" w:hAnsi="Arial" w:cs="Arial"/>
      <w:bCs/>
      <w:iCs/>
      <w:color w:val="358189"/>
      <w:sz w:val="32"/>
      <w:szCs w:val="28"/>
    </w:rPr>
  </w:style>
  <w:style w:type="paragraph" w:styleId="Heading3">
    <w:name w:val="heading 3"/>
    <w:basedOn w:val="Normal"/>
    <w:next w:val="Normal"/>
    <w:link w:val="Heading3Char"/>
    <w:uiPriority w:val="9"/>
    <w:unhideWhenUsed/>
    <w:qFormat/>
    <w:rsid w:val="00C174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37A37"/>
    <w:pPr>
      <w:keepNext/>
      <w:spacing w:before="240" w:after="60" w:line="240" w:lineRule="auto"/>
      <w:outlineLvl w:val="3"/>
    </w:pPr>
    <w:rPr>
      <w:rFonts w:ascii="Arial" w:eastAsia="Times New Roman" w:hAnsi="Arial" w:cs="Times New Roman"/>
      <w:b/>
      <w:bCs/>
      <w:i/>
      <w:color w:val="414141"/>
      <w:sz w:val="24"/>
      <w:szCs w:val="28"/>
      <w:lang w:eastAsia="en-AU"/>
    </w:rPr>
  </w:style>
  <w:style w:type="paragraph" w:styleId="Heading5">
    <w:name w:val="heading 5"/>
    <w:basedOn w:val="Normal"/>
    <w:next w:val="Normal"/>
    <w:link w:val="Heading5Char"/>
    <w:uiPriority w:val="9"/>
    <w:unhideWhenUsed/>
    <w:qFormat/>
    <w:rsid w:val="005F7F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next w:val="Normal"/>
    <w:link w:val="SubtitleChar"/>
    <w:qFormat/>
    <w:rsid w:val="00D37A37"/>
    <w:pPr>
      <w:numPr>
        <w:ilvl w:val="1"/>
      </w:numPr>
      <w:spacing w:before="120" w:after="60" w:line="240" w:lineRule="auto"/>
    </w:pPr>
    <w:rPr>
      <w:rFonts w:ascii="Arial" w:eastAsiaTheme="majorEastAsia" w:hAnsi="Arial" w:cstheme="majorBidi"/>
      <w:iCs/>
      <w:color w:val="3F4A75"/>
      <w:spacing w:val="15"/>
      <w:sz w:val="40"/>
      <w:szCs w:val="24"/>
    </w:rPr>
  </w:style>
  <w:style w:type="character" w:customStyle="1" w:styleId="SubtitleChar">
    <w:name w:val="Subtitle Char"/>
    <w:basedOn w:val="DefaultParagraphFont"/>
    <w:link w:val="Subtitle"/>
    <w:rsid w:val="00D37A37"/>
    <w:rPr>
      <w:rFonts w:ascii="Arial" w:eastAsiaTheme="majorEastAsia" w:hAnsi="Arial" w:cstheme="majorBidi"/>
      <w:iCs/>
      <w:color w:val="3F4A75"/>
      <w:spacing w:val="15"/>
      <w:sz w:val="40"/>
      <w:szCs w:val="24"/>
    </w:rPr>
  </w:style>
  <w:style w:type="paragraph" w:styleId="Title">
    <w:name w:val="Title"/>
    <w:basedOn w:val="Normal"/>
    <w:next w:val="Normal"/>
    <w:link w:val="TitleChar"/>
    <w:qFormat/>
    <w:rsid w:val="00D37A37"/>
    <w:pPr>
      <w:spacing w:before="2160" w:after="120" w:line="240" w:lineRule="auto"/>
      <w:contextualSpacing/>
    </w:pPr>
    <w:rPr>
      <w:rFonts w:ascii="Arial" w:eastAsiaTheme="majorEastAsia" w:hAnsi="Arial" w:cstheme="majorBidi"/>
      <w:b/>
      <w:color w:val="3F4A75"/>
      <w:kern w:val="28"/>
      <w:sz w:val="48"/>
      <w:szCs w:val="52"/>
      <w:lang w:eastAsia="en-AU"/>
    </w:rPr>
  </w:style>
  <w:style w:type="character" w:customStyle="1" w:styleId="TitleChar">
    <w:name w:val="Title Char"/>
    <w:basedOn w:val="DefaultParagraphFont"/>
    <w:link w:val="Title"/>
    <w:rsid w:val="00D37A37"/>
    <w:rPr>
      <w:rFonts w:ascii="Arial" w:eastAsiaTheme="majorEastAsia" w:hAnsi="Arial" w:cstheme="majorBidi"/>
      <w:b/>
      <w:color w:val="3F4A75"/>
      <w:kern w:val="28"/>
      <w:sz w:val="48"/>
      <w:szCs w:val="52"/>
      <w:lang w:eastAsia="en-AU"/>
    </w:rPr>
  </w:style>
  <w:style w:type="paragraph" w:styleId="Date">
    <w:name w:val="Date"/>
    <w:basedOn w:val="Normal"/>
    <w:next w:val="Normal"/>
    <w:link w:val="DateChar"/>
    <w:uiPriority w:val="99"/>
    <w:rsid w:val="00D37A37"/>
    <w:pPr>
      <w:pBdr>
        <w:top w:val="single" w:sz="4" w:space="1" w:color="auto"/>
      </w:pBdr>
      <w:spacing w:before="840" w:after="0" w:line="240" w:lineRule="atLeast"/>
      <w:jc w:val="right"/>
    </w:pPr>
    <w:rPr>
      <w:rFonts w:ascii="Segoe UI Semibold" w:eastAsia="Cambria" w:hAnsi="Segoe UI Semibold" w:cs="Times New Roman"/>
      <w:sz w:val="24"/>
      <w:szCs w:val="20"/>
    </w:rPr>
  </w:style>
  <w:style w:type="character" w:customStyle="1" w:styleId="DateChar">
    <w:name w:val="Date Char"/>
    <w:basedOn w:val="DefaultParagraphFont"/>
    <w:link w:val="Date"/>
    <w:uiPriority w:val="99"/>
    <w:rsid w:val="00D37A37"/>
    <w:rPr>
      <w:rFonts w:ascii="Segoe UI Semibold" w:eastAsia="Cambria" w:hAnsi="Segoe UI Semibold" w:cs="Times New Roman"/>
      <w:sz w:val="24"/>
      <w:szCs w:val="20"/>
    </w:rPr>
  </w:style>
  <w:style w:type="character" w:styleId="Hyperlink">
    <w:name w:val="Hyperlink"/>
    <w:basedOn w:val="DefaultParagraphFont"/>
    <w:uiPriority w:val="99"/>
    <w:qFormat/>
    <w:rsid w:val="00D37A37"/>
    <w:rPr>
      <w:color w:val="0563C1" w:themeColor="hyperlink"/>
      <w:u w:val="single"/>
    </w:rPr>
  </w:style>
  <w:style w:type="paragraph" w:customStyle="1" w:styleId="LegalSubheading">
    <w:name w:val="Legal Subheading"/>
    <w:next w:val="Normal"/>
    <w:rsid w:val="00D37A37"/>
    <w:pPr>
      <w:spacing w:after="0" w:line="240" w:lineRule="auto"/>
    </w:pPr>
    <w:rPr>
      <w:rFonts w:ascii="Segoe UI Semibold" w:eastAsia="Cambria" w:hAnsi="Segoe UI Semibold" w:cs="Times New Roman"/>
      <w:szCs w:val="20"/>
    </w:rPr>
  </w:style>
  <w:style w:type="table" w:customStyle="1" w:styleId="TableODC">
    <w:name w:val="Table ODC"/>
    <w:basedOn w:val="TableNormal"/>
    <w:uiPriority w:val="99"/>
    <w:qFormat/>
    <w:rsid w:val="00D37A37"/>
    <w:pPr>
      <w:spacing w:before="100" w:after="100" w:line="240" w:lineRule="atLeast"/>
    </w:pPr>
    <w:rPr>
      <w:rFonts w:ascii="Segoe UI" w:eastAsia="Cambria" w:hAnsi="Segoe UI" w:cs="Times New Roman"/>
      <w:color w:val="000000"/>
      <w:szCs w:val="21"/>
      <w:lang w:eastAsia="en-AU"/>
    </w:rPr>
    <w:tblPr>
      <w:tblStyleRowBandSize w:val="1"/>
    </w:tblPr>
    <w:trPr>
      <w:cantSplit/>
    </w:trPr>
    <w:tcPr>
      <w:shd w:val="clear" w:color="auto" w:fill="auto"/>
    </w:tcPr>
    <w:tblStylePr w:type="firstRow">
      <w:pPr>
        <w:keepNext/>
        <w:wordWrap/>
        <w:spacing w:beforeLines="0" w:before="60" w:beforeAutospacing="0" w:afterLines="0" w:after="60" w:afterAutospacing="0"/>
        <w:jc w:val="left"/>
      </w:pPr>
      <w:rPr>
        <w:rFonts w:ascii="Segoe UI Semibold" w:hAnsi="Segoe UI Semibold"/>
        <w:b w:val="0"/>
        <w:i w:val="0"/>
        <w:color w:val="auto"/>
        <w:sz w:val="22"/>
      </w:rPr>
      <w:tblPr/>
      <w:trPr>
        <w:cantSplit w:val="0"/>
        <w:tblHeader/>
      </w:trPr>
      <w:tcPr>
        <w:tcBorders>
          <w:top w:val="single" w:sz="8" w:space="0" w:color="002C47"/>
          <w:left w:val="nil"/>
          <w:bottom w:val="single" w:sz="8" w:space="0" w:color="002C47"/>
          <w:right w:val="nil"/>
          <w:insideH w:val="nil"/>
          <w:insideV w:val="nil"/>
          <w:tl2br w:val="nil"/>
          <w:tr2bl w:val="nil"/>
        </w:tcBorders>
        <w:shd w:val="clear" w:color="auto" w:fill="CFDCE7"/>
      </w:tcPr>
    </w:tblStylePr>
    <w:tblStylePr w:type="lastRow">
      <w:tblPr/>
      <w:tcPr>
        <w:tcBorders>
          <w:bottom w:val="single" w:sz="8" w:space="0" w:color="002C47"/>
        </w:tcBorders>
        <w:shd w:val="clear" w:color="auto" w:fill="auto"/>
      </w:tcPr>
    </w:tblStylePr>
    <w:tblStylePr w:type="firstCol">
      <w:pPr>
        <w:keepNext w:val="0"/>
        <w:wordWrap/>
      </w:pPr>
    </w:tblStylePr>
    <w:tblStylePr w:type="band1Horz">
      <w:tblPr/>
      <w:tcPr>
        <w:tcBorders>
          <w:top w:val="single" w:sz="8" w:space="0" w:color="auto"/>
          <w:bottom w:val="single" w:sz="8" w:space="0" w:color="auto"/>
        </w:tcBorders>
        <w:shd w:val="clear" w:color="auto" w:fill="auto"/>
      </w:tcPr>
    </w:tblStylePr>
    <w:tblStylePr w:type="band2Horz">
      <w:tblPr/>
      <w:tcPr>
        <w:tcBorders>
          <w:top w:val="single" w:sz="8" w:space="0" w:color="auto"/>
          <w:bottom w:val="single" w:sz="8" w:space="0" w:color="auto"/>
          <w:tr2bl w:val="nil"/>
        </w:tcBorders>
        <w:shd w:val="clear" w:color="auto" w:fill="auto"/>
      </w:tcPr>
    </w:tblStylePr>
  </w:style>
  <w:style w:type="paragraph" w:customStyle="1" w:styleId="Tableheader">
    <w:name w:val="Table header"/>
    <w:basedOn w:val="Normal"/>
    <w:next w:val="Normal"/>
    <w:uiPriority w:val="1"/>
    <w:qFormat/>
    <w:rsid w:val="00D37A37"/>
    <w:pPr>
      <w:keepNext/>
      <w:spacing w:before="100" w:after="100" w:line="240" w:lineRule="atLeast"/>
    </w:pPr>
    <w:rPr>
      <w:rFonts w:ascii="Segoe UI Semibold" w:eastAsia="Cambria" w:hAnsi="Segoe UI Semibold" w:cs="Times New Roman"/>
      <w:szCs w:val="21"/>
    </w:rPr>
  </w:style>
  <w:style w:type="character" w:customStyle="1" w:styleId="pubtitle">
    <w:name w:val="pubtitle"/>
    <w:basedOn w:val="DefaultParagraphFont"/>
    <w:rsid w:val="00D37A37"/>
  </w:style>
  <w:style w:type="character" w:customStyle="1" w:styleId="Heading1Char">
    <w:name w:val="Heading 1 Char"/>
    <w:basedOn w:val="DefaultParagraphFont"/>
    <w:link w:val="Heading1"/>
    <w:rsid w:val="00D37A37"/>
    <w:rPr>
      <w:rFonts w:ascii="Arial" w:eastAsia="Times New Roman" w:hAnsi="Arial" w:cs="Arial"/>
      <w:bCs/>
      <w:color w:val="3F4A75"/>
      <w:kern w:val="28"/>
      <w:sz w:val="36"/>
      <w:szCs w:val="36"/>
      <w:lang w:eastAsia="en-AU"/>
    </w:rPr>
  </w:style>
  <w:style w:type="character" w:customStyle="1" w:styleId="Heading2Char">
    <w:name w:val="Heading 2 Char"/>
    <w:basedOn w:val="DefaultParagraphFont"/>
    <w:link w:val="Heading2"/>
    <w:rsid w:val="00D37A37"/>
    <w:rPr>
      <w:rFonts w:ascii="Arial" w:eastAsia="Times New Roman" w:hAnsi="Arial" w:cs="Arial"/>
      <w:bCs/>
      <w:iCs/>
      <w:color w:val="358189"/>
      <w:sz w:val="32"/>
      <w:szCs w:val="28"/>
    </w:rPr>
  </w:style>
  <w:style w:type="character" w:customStyle="1" w:styleId="Heading4Char">
    <w:name w:val="Heading 4 Char"/>
    <w:basedOn w:val="DefaultParagraphFont"/>
    <w:link w:val="Heading4"/>
    <w:rsid w:val="00D37A37"/>
    <w:rPr>
      <w:rFonts w:ascii="Arial" w:eastAsia="Times New Roman" w:hAnsi="Arial" w:cs="Times New Roman"/>
      <w:b/>
      <w:bCs/>
      <w:i/>
      <w:color w:val="414141"/>
      <w:sz w:val="24"/>
      <w:szCs w:val="28"/>
      <w:lang w:eastAsia="en-AU"/>
    </w:rPr>
  </w:style>
  <w:style w:type="paragraph" w:customStyle="1" w:styleId="Paragraphtext">
    <w:name w:val="Paragraph text"/>
    <w:basedOn w:val="Normal"/>
    <w:qFormat/>
    <w:rsid w:val="00D37A37"/>
    <w:pPr>
      <w:spacing w:before="120" w:after="60" w:line="240" w:lineRule="auto"/>
    </w:pPr>
    <w:rPr>
      <w:rFonts w:ascii="Arial" w:eastAsia="Times New Roman" w:hAnsi="Arial" w:cs="Times New Roman"/>
      <w:color w:val="000000" w:themeColor="text1"/>
      <w:sz w:val="21"/>
      <w:szCs w:val="24"/>
      <w:lang w:eastAsia="en-AU"/>
    </w:rPr>
  </w:style>
  <w:style w:type="paragraph" w:styleId="ListParagraph">
    <w:name w:val="List Paragraph"/>
    <w:aliases w:val="TOC style,lp1,Bullet OSM,Proposal Bullet List,List Paragraph1,Recommendation,List Paragraph11,List Paragraph111,L,F5 List Paragraph,Dot pt,CV text,Table text,Medium Grid 1 - Accent 21,Numbered Paragraph,List Paragraph2,FooterText,numbered"/>
    <w:basedOn w:val="Normal"/>
    <w:link w:val="ListParagraphChar"/>
    <w:uiPriority w:val="34"/>
    <w:qFormat/>
    <w:rsid w:val="00D37A37"/>
    <w:pPr>
      <w:spacing w:after="0" w:line="240" w:lineRule="auto"/>
      <w:ind w:left="720"/>
      <w:contextualSpacing/>
    </w:pPr>
    <w:rPr>
      <w:rFonts w:ascii="Arial" w:eastAsia="Times New Roman" w:hAnsi="Arial" w:cs="Times New Roman"/>
      <w:color w:val="000000" w:themeColor="text1"/>
      <w:szCs w:val="24"/>
      <w:lang w:eastAsia="en-AU"/>
    </w:rPr>
  </w:style>
  <w:style w:type="paragraph" w:styleId="NormalWeb">
    <w:name w:val="Normal (Web)"/>
    <w:basedOn w:val="Normal"/>
    <w:uiPriority w:val="99"/>
    <w:unhideWhenUsed/>
    <w:rsid w:val="00D37A37"/>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AU"/>
    </w:rPr>
  </w:style>
  <w:style w:type="character" w:customStyle="1" w:styleId="ListParagraphChar">
    <w:name w:val="List Paragraph Char"/>
    <w:aliases w:val="TOC style Char,lp1 Char,Bullet OSM Char,Proposal Bullet List Char,List Paragraph1 Char,Recommendation Char,List Paragraph11 Char,List Paragraph111 Char,L Char,F5 List Paragraph Char,Dot pt Char,CV text Char,Table text Char"/>
    <w:basedOn w:val="DefaultParagraphFont"/>
    <w:link w:val="ListParagraph"/>
    <w:uiPriority w:val="34"/>
    <w:locked/>
    <w:rsid w:val="00D37A37"/>
    <w:rPr>
      <w:rFonts w:ascii="Arial" w:eastAsia="Times New Roman" w:hAnsi="Arial" w:cs="Times New Roman"/>
      <w:color w:val="000000" w:themeColor="text1"/>
      <w:szCs w:val="24"/>
      <w:lang w:eastAsia="en-AU"/>
    </w:rPr>
  </w:style>
  <w:style w:type="paragraph" w:customStyle="1" w:styleId="TableHeading">
    <w:name w:val="Table Heading"/>
    <w:basedOn w:val="Normal"/>
    <w:qFormat/>
    <w:rsid w:val="00D37A37"/>
    <w:pPr>
      <w:spacing w:after="120" w:line="240" w:lineRule="atLeast"/>
    </w:pPr>
    <w:rPr>
      <w:b/>
      <w:color w:val="FFFFFF" w:themeColor="background1"/>
      <w:sz w:val="20"/>
    </w:rPr>
  </w:style>
  <w:style w:type="paragraph" w:styleId="TOCHeading">
    <w:name w:val="TOC Heading"/>
    <w:basedOn w:val="Heading1"/>
    <w:next w:val="Normal"/>
    <w:uiPriority w:val="39"/>
    <w:unhideWhenUsed/>
    <w:qFormat/>
    <w:rsid w:val="00D37A37"/>
    <w:pPr>
      <w:keepLines/>
      <w:spacing w:after="0" w:line="259" w:lineRule="auto"/>
      <w:outlineLvl w:val="9"/>
    </w:pPr>
    <w:rPr>
      <w:rFonts w:asciiTheme="majorHAnsi" w:eastAsiaTheme="majorEastAsia" w:hAnsiTheme="majorHAnsi" w:cstheme="majorBidi"/>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37A37"/>
    <w:pPr>
      <w:spacing w:after="100"/>
    </w:pPr>
  </w:style>
  <w:style w:type="paragraph" w:styleId="TOC2">
    <w:name w:val="toc 2"/>
    <w:basedOn w:val="Normal"/>
    <w:next w:val="Normal"/>
    <w:autoRedefine/>
    <w:uiPriority w:val="39"/>
    <w:unhideWhenUsed/>
    <w:rsid w:val="00D37A37"/>
    <w:pPr>
      <w:spacing w:after="100"/>
      <w:ind w:left="220"/>
    </w:pPr>
  </w:style>
  <w:style w:type="paragraph" w:styleId="Header">
    <w:name w:val="header"/>
    <w:basedOn w:val="Normal"/>
    <w:link w:val="HeaderChar"/>
    <w:uiPriority w:val="99"/>
    <w:unhideWhenUsed/>
    <w:rsid w:val="00D37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A37"/>
  </w:style>
  <w:style w:type="paragraph" w:styleId="Footer">
    <w:name w:val="footer"/>
    <w:basedOn w:val="Normal"/>
    <w:link w:val="FooterChar"/>
    <w:uiPriority w:val="99"/>
    <w:unhideWhenUsed/>
    <w:rsid w:val="00D37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A37"/>
  </w:style>
  <w:style w:type="character" w:styleId="UnresolvedMention">
    <w:name w:val="Unresolved Mention"/>
    <w:basedOn w:val="DefaultParagraphFont"/>
    <w:uiPriority w:val="99"/>
    <w:semiHidden/>
    <w:unhideWhenUsed/>
    <w:rsid w:val="00D37A37"/>
    <w:rPr>
      <w:color w:val="605E5C"/>
      <w:shd w:val="clear" w:color="auto" w:fill="E1DFDD"/>
    </w:rPr>
  </w:style>
  <w:style w:type="character" w:styleId="CommentReference">
    <w:name w:val="annotation reference"/>
    <w:basedOn w:val="DefaultParagraphFont"/>
    <w:uiPriority w:val="99"/>
    <w:semiHidden/>
    <w:unhideWhenUsed/>
    <w:rsid w:val="0068581D"/>
    <w:rPr>
      <w:sz w:val="16"/>
      <w:szCs w:val="16"/>
    </w:rPr>
  </w:style>
  <w:style w:type="paragraph" w:styleId="CommentText">
    <w:name w:val="annotation text"/>
    <w:basedOn w:val="Normal"/>
    <w:link w:val="CommentTextChar"/>
    <w:uiPriority w:val="99"/>
    <w:unhideWhenUsed/>
    <w:rsid w:val="0068581D"/>
    <w:pPr>
      <w:spacing w:line="240" w:lineRule="auto"/>
    </w:pPr>
    <w:rPr>
      <w:sz w:val="20"/>
      <w:szCs w:val="20"/>
    </w:rPr>
  </w:style>
  <w:style w:type="character" w:customStyle="1" w:styleId="CommentTextChar">
    <w:name w:val="Comment Text Char"/>
    <w:basedOn w:val="DefaultParagraphFont"/>
    <w:link w:val="CommentText"/>
    <w:uiPriority w:val="99"/>
    <w:rsid w:val="0068581D"/>
    <w:rPr>
      <w:sz w:val="20"/>
      <w:szCs w:val="20"/>
    </w:rPr>
  </w:style>
  <w:style w:type="paragraph" w:styleId="CommentSubject">
    <w:name w:val="annotation subject"/>
    <w:basedOn w:val="CommentText"/>
    <w:next w:val="CommentText"/>
    <w:link w:val="CommentSubjectChar"/>
    <w:uiPriority w:val="99"/>
    <w:semiHidden/>
    <w:unhideWhenUsed/>
    <w:rsid w:val="0068581D"/>
    <w:rPr>
      <w:b/>
      <w:bCs/>
    </w:rPr>
  </w:style>
  <w:style w:type="character" w:customStyle="1" w:styleId="CommentSubjectChar">
    <w:name w:val="Comment Subject Char"/>
    <w:basedOn w:val="CommentTextChar"/>
    <w:link w:val="CommentSubject"/>
    <w:uiPriority w:val="99"/>
    <w:semiHidden/>
    <w:rsid w:val="0068581D"/>
    <w:rPr>
      <w:b/>
      <w:bCs/>
      <w:sz w:val="20"/>
      <w:szCs w:val="20"/>
    </w:rPr>
  </w:style>
  <w:style w:type="paragraph" w:styleId="FootnoteText">
    <w:name w:val="footnote text"/>
    <w:basedOn w:val="Normal"/>
    <w:link w:val="FootnoteTextChar"/>
    <w:semiHidden/>
    <w:unhideWhenUsed/>
    <w:rsid w:val="009F21CE"/>
    <w:pPr>
      <w:spacing w:after="0" w:line="240" w:lineRule="auto"/>
    </w:pPr>
    <w:rPr>
      <w:sz w:val="20"/>
      <w:szCs w:val="20"/>
    </w:rPr>
  </w:style>
  <w:style w:type="character" w:customStyle="1" w:styleId="FootnoteTextChar">
    <w:name w:val="Footnote Text Char"/>
    <w:basedOn w:val="DefaultParagraphFont"/>
    <w:link w:val="FootnoteText"/>
    <w:semiHidden/>
    <w:rsid w:val="009F21CE"/>
    <w:rPr>
      <w:sz w:val="20"/>
      <w:szCs w:val="20"/>
    </w:rPr>
  </w:style>
  <w:style w:type="character" w:styleId="FootnoteReference">
    <w:name w:val="footnote reference"/>
    <w:basedOn w:val="DefaultParagraphFont"/>
    <w:semiHidden/>
    <w:unhideWhenUsed/>
    <w:rsid w:val="009F21CE"/>
    <w:rPr>
      <w:vertAlign w:val="superscript"/>
    </w:rPr>
  </w:style>
  <w:style w:type="character" w:styleId="FollowedHyperlink">
    <w:name w:val="FollowedHyperlink"/>
    <w:basedOn w:val="DefaultParagraphFont"/>
    <w:uiPriority w:val="99"/>
    <w:semiHidden/>
    <w:unhideWhenUsed/>
    <w:rsid w:val="00D24E7B"/>
    <w:rPr>
      <w:color w:val="954F72" w:themeColor="followedHyperlink"/>
      <w:u w:val="single"/>
    </w:rPr>
  </w:style>
  <w:style w:type="paragraph" w:styleId="Revision">
    <w:name w:val="Revision"/>
    <w:hidden/>
    <w:uiPriority w:val="99"/>
    <w:semiHidden/>
    <w:rsid w:val="00473BB9"/>
    <w:pPr>
      <w:spacing w:after="0" w:line="240" w:lineRule="auto"/>
    </w:pPr>
  </w:style>
  <w:style w:type="paragraph" w:styleId="ListBullet">
    <w:name w:val="List Bullet"/>
    <w:basedOn w:val="Normal"/>
    <w:uiPriority w:val="99"/>
    <w:unhideWhenUsed/>
    <w:qFormat/>
    <w:rsid w:val="00C45B2F"/>
    <w:pPr>
      <w:numPr>
        <w:numId w:val="15"/>
      </w:numPr>
      <w:ind w:left="357" w:hanging="357"/>
      <w:contextualSpacing/>
    </w:pPr>
  </w:style>
  <w:style w:type="character" w:customStyle="1" w:styleId="Heading3Char">
    <w:name w:val="Heading 3 Char"/>
    <w:basedOn w:val="DefaultParagraphFont"/>
    <w:link w:val="Heading3"/>
    <w:uiPriority w:val="9"/>
    <w:rsid w:val="00C1743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20FA9"/>
    <w:pPr>
      <w:spacing w:after="100"/>
      <w:ind w:left="440"/>
    </w:pPr>
  </w:style>
  <w:style w:type="character" w:customStyle="1" w:styleId="Heading5Char">
    <w:name w:val="Heading 5 Char"/>
    <w:basedOn w:val="DefaultParagraphFont"/>
    <w:link w:val="Heading5"/>
    <w:uiPriority w:val="9"/>
    <w:rsid w:val="005F7F61"/>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0853AE"/>
    <w:pPr>
      <w:spacing w:after="0" w:line="240" w:lineRule="auto"/>
    </w:pPr>
    <w:rPr>
      <w:rFonts w:ascii="Arial" w:hAnsi="Arial" w:cs="Times New Roman"/>
      <w:kern w:val="2"/>
      <w:sz w:val="20"/>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7935">
      <w:bodyDiv w:val="1"/>
      <w:marLeft w:val="0"/>
      <w:marRight w:val="0"/>
      <w:marTop w:val="0"/>
      <w:marBottom w:val="0"/>
      <w:divBdr>
        <w:top w:val="none" w:sz="0" w:space="0" w:color="auto"/>
        <w:left w:val="none" w:sz="0" w:space="0" w:color="auto"/>
        <w:bottom w:val="none" w:sz="0" w:space="0" w:color="auto"/>
        <w:right w:val="none" w:sz="0" w:space="0" w:color="auto"/>
      </w:divBdr>
    </w:div>
    <w:div w:id="228225261">
      <w:bodyDiv w:val="1"/>
      <w:marLeft w:val="0"/>
      <w:marRight w:val="0"/>
      <w:marTop w:val="0"/>
      <w:marBottom w:val="0"/>
      <w:divBdr>
        <w:top w:val="none" w:sz="0" w:space="0" w:color="auto"/>
        <w:left w:val="none" w:sz="0" w:space="0" w:color="auto"/>
        <w:bottom w:val="none" w:sz="0" w:space="0" w:color="auto"/>
        <w:right w:val="none" w:sz="0" w:space="0" w:color="auto"/>
      </w:divBdr>
      <w:divsChild>
        <w:div w:id="732889457">
          <w:marLeft w:val="0"/>
          <w:marRight w:val="0"/>
          <w:marTop w:val="0"/>
          <w:marBottom w:val="0"/>
          <w:divBdr>
            <w:top w:val="none" w:sz="0" w:space="0" w:color="auto"/>
            <w:left w:val="none" w:sz="0" w:space="0" w:color="auto"/>
            <w:bottom w:val="none" w:sz="0" w:space="0" w:color="auto"/>
            <w:right w:val="none" w:sz="0" w:space="0" w:color="auto"/>
          </w:divBdr>
        </w:div>
        <w:div w:id="1096244514">
          <w:marLeft w:val="0"/>
          <w:marRight w:val="0"/>
          <w:marTop w:val="0"/>
          <w:marBottom w:val="0"/>
          <w:divBdr>
            <w:top w:val="none" w:sz="0" w:space="0" w:color="auto"/>
            <w:left w:val="none" w:sz="0" w:space="0" w:color="auto"/>
            <w:bottom w:val="none" w:sz="0" w:space="0" w:color="auto"/>
            <w:right w:val="none" w:sz="0" w:space="0" w:color="auto"/>
          </w:divBdr>
        </w:div>
      </w:divsChild>
    </w:div>
    <w:div w:id="291248760">
      <w:bodyDiv w:val="1"/>
      <w:marLeft w:val="0"/>
      <w:marRight w:val="0"/>
      <w:marTop w:val="0"/>
      <w:marBottom w:val="0"/>
      <w:divBdr>
        <w:top w:val="none" w:sz="0" w:space="0" w:color="auto"/>
        <w:left w:val="none" w:sz="0" w:space="0" w:color="auto"/>
        <w:bottom w:val="none" w:sz="0" w:space="0" w:color="auto"/>
        <w:right w:val="none" w:sz="0" w:space="0" w:color="auto"/>
      </w:divBdr>
    </w:div>
    <w:div w:id="354311670">
      <w:bodyDiv w:val="1"/>
      <w:marLeft w:val="0"/>
      <w:marRight w:val="0"/>
      <w:marTop w:val="0"/>
      <w:marBottom w:val="0"/>
      <w:divBdr>
        <w:top w:val="none" w:sz="0" w:space="0" w:color="auto"/>
        <w:left w:val="none" w:sz="0" w:space="0" w:color="auto"/>
        <w:bottom w:val="none" w:sz="0" w:space="0" w:color="auto"/>
        <w:right w:val="none" w:sz="0" w:space="0" w:color="auto"/>
      </w:divBdr>
      <w:divsChild>
        <w:div w:id="1334184677">
          <w:marLeft w:val="0"/>
          <w:marRight w:val="0"/>
          <w:marTop w:val="0"/>
          <w:marBottom w:val="0"/>
          <w:divBdr>
            <w:top w:val="none" w:sz="0" w:space="0" w:color="auto"/>
            <w:left w:val="none" w:sz="0" w:space="0" w:color="auto"/>
            <w:bottom w:val="none" w:sz="0" w:space="0" w:color="auto"/>
            <w:right w:val="none" w:sz="0" w:space="0" w:color="auto"/>
          </w:divBdr>
        </w:div>
        <w:div w:id="2094350574">
          <w:marLeft w:val="0"/>
          <w:marRight w:val="0"/>
          <w:marTop w:val="0"/>
          <w:marBottom w:val="0"/>
          <w:divBdr>
            <w:top w:val="none" w:sz="0" w:space="0" w:color="auto"/>
            <w:left w:val="none" w:sz="0" w:space="0" w:color="auto"/>
            <w:bottom w:val="none" w:sz="0" w:space="0" w:color="auto"/>
            <w:right w:val="none" w:sz="0" w:space="0" w:color="auto"/>
          </w:divBdr>
        </w:div>
      </w:divsChild>
    </w:div>
    <w:div w:id="487214388">
      <w:bodyDiv w:val="1"/>
      <w:marLeft w:val="0"/>
      <w:marRight w:val="0"/>
      <w:marTop w:val="0"/>
      <w:marBottom w:val="0"/>
      <w:divBdr>
        <w:top w:val="none" w:sz="0" w:space="0" w:color="auto"/>
        <w:left w:val="none" w:sz="0" w:space="0" w:color="auto"/>
        <w:bottom w:val="none" w:sz="0" w:space="0" w:color="auto"/>
        <w:right w:val="none" w:sz="0" w:space="0" w:color="auto"/>
      </w:divBdr>
    </w:div>
    <w:div w:id="506560287">
      <w:bodyDiv w:val="1"/>
      <w:marLeft w:val="0"/>
      <w:marRight w:val="0"/>
      <w:marTop w:val="0"/>
      <w:marBottom w:val="0"/>
      <w:divBdr>
        <w:top w:val="none" w:sz="0" w:space="0" w:color="auto"/>
        <w:left w:val="none" w:sz="0" w:space="0" w:color="auto"/>
        <w:bottom w:val="none" w:sz="0" w:space="0" w:color="auto"/>
        <w:right w:val="none" w:sz="0" w:space="0" w:color="auto"/>
      </w:divBdr>
    </w:div>
    <w:div w:id="542787389">
      <w:bodyDiv w:val="1"/>
      <w:marLeft w:val="0"/>
      <w:marRight w:val="0"/>
      <w:marTop w:val="0"/>
      <w:marBottom w:val="0"/>
      <w:divBdr>
        <w:top w:val="none" w:sz="0" w:space="0" w:color="auto"/>
        <w:left w:val="none" w:sz="0" w:space="0" w:color="auto"/>
        <w:bottom w:val="none" w:sz="0" w:space="0" w:color="auto"/>
        <w:right w:val="none" w:sz="0" w:space="0" w:color="auto"/>
      </w:divBdr>
      <w:divsChild>
        <w:div w:id="1167555617">
          <w:marLeft w:val="0"/>
          <w:marRight w:val="0"/>
          <w:marTop w:val="0"/>
          <w:marBottom w:val="0"/>
          <w:divBdr>
            <w:top w:val="none" w:sz="0" w:space="0" w:color="auto"/>
            <w:left w:val="none" w:sz="0" w:space="0" w:color="auto"/>
            <w:bottom w:val="none" w:sz="0" w:space="0" w:color="auto"/>
            <w:right w:val="none" w:sz="0" w:space="0" w:color="auto"/>
          </w:divBdr>
        </w:div>
        <w:div w:id="805506398">
          <w:marLeft w:val="0"/>
          <w:marRight w:val="0"/>
          <w:marTop w:val="0"/>
          <w:marBottom w:val="0"/>
          <w:divBdr>
            <w:top w:val="none" w:sz="0" w:space="0" w:color="auto"/>
            <w:left w:val="none" w:sz="0" w:space="0" w:color="auto"/>
            <w:bottom w:val="none" w:sz="0" w:space="0" w:color="auto"/>
            <w:right w:val="none" w:sz="0" w:space="0" w:color="auto"/>
          </w:divBdr>
        </w:div>
        <w:div w:id="1684934444">
          <w:marLeft w:val="0"/>
          <w:marRight w:val="0"/>
          <w:marTop w:val="0"/>
          <w:marBottom w:val="0"/>
          <w:divBdr>
            <w:top w:val="none" w:sz="0" w:space="0" w:color="auto"/>
            <w:left w:val="none" w:sz="0" w:space="0" w:color="auto"/>
            <w:bottom w:val="none" w:sz="0" w:space="0" w:color="auto"/>
            <w:right w:val="none" w:sz="0" w:space="0" w:color="auto"/>
          </w:divBdr>
        </w:div>
        <w:div w:id="577640154">
          <w:marLeft w:val="0"/>
          <w:marRight w:val="0"/>
          <w:marTop w:val="0"/>
          <w:marBottom w:val="0"/>
          <w:divBdr>
            <w:top w:val="none" w:sz="0" w:space="0" w:color="auto"/>
            <w:left w:val="none" w:sz="0" w:space="0" w:color="auto"/>
            <w:bottom w:val="none" w:sz="0" w:space="0" w:color="auto"/>
            <w:right w:val="none" w:sz="0" w:space="0" w:color="auto"/>
          </w:divBdr>
        </w:div>
        <w:div w:id="1968929251">
          <w:marLeft w:val="0"/>
          <w:marRight w:val="0"/>
          <w:marTop w:val="0"/>
          <w:marBottom w:val="0"/>
          <w:divBdr>
            <w:top w:val="none" w:sz="0" w:space="0" w:color="auto"/>
            <w:left w:val="none" w:sz="0" w:space="0" w:color="auto"/>
            <w:bottom w:val="none" w:sz="0" w:space="0" w:color="auto"/>
            <w:right w:val="none" w:sz="0" w:space="0" w:color="auto"/>
          </w:divBdr>
          <w:divsChild>
            <w:div w:id="745415925">
              <w:marLeft w:val="0"/>
              <w:marRight w:val="0"/>
              <w:marTop w:val="0"/>
              <w:marBottom w:val="0"/>
              <w:divBdr>
                <w:top w:val="none" w:sz="0" w:space="0" w:color="auto"/>
                <w:left w:val="none" w:sz="0" w:space="0" w:color="auto"/>
                <w:bottom w:val="none" w:sz="0" w:space="0" w:color="auto"/>
                <w:right w:val="none" w:sz="0" w:space="0" w:color="auto"/>
              </w:divBdr>
            </w:div>
            <w:div w:id="1277131590">
              <w:marLeft w:val="0"/>
              <w:marRight w:val="0"/>
              <w:marTop w:val="0"/>
              <w:marBottom w:val="0"/>
              <w:divBdr>
                <w:top w:val="none" w:sz="0" w:space="0" w:color="auto"/>
                <w:left w:val="none" w:sz="0" w:space="0" w:color="auto"/>
                <w:bottom w:val="none" w:sz="0" w:space="0" w:color="auto"/>
                <w:right w:val="none" w:sz="0" w:space="0" w:color="auto"/>
              </w:divBdr>
            </w:div>
            <w:div w:id="1184905563">
              <w:marLeft w:val="0"/>
              <w:marRight w:val="0"/>
              <w:marTop w:val="0"/>
              <w:marBottom w:val="0"/>
              <w:divBdr>
                <w:top w:val="none" w:sz="0" w:space="0" w:color="auto"/>
                <w:left w:val="none" w:sz="0" w:space="0" w:color="auto"/>
                <w:bottom w:val="none" w:sz="0" w:space="0" w:color="auto"/>
                <w:right w:val="none" w:sz="0" w:space="0" w:color="auto"/>
              </w:divBdr>
            </w:div>
            <w:div w:id="1798521248">
              <w:marLeft w:val="0"/>
              <w:marRight w:val="0"/>
              <w:marTop w:val="0"/>
              <w:marBottom w:val="0"/>
              <w:divBdr>
                <w:top w:val="none" w:sz="0" w:space="0" w:color="auto"/>
                <w:left w:val="none" w:sz="0" w:space="0" w:color="auto"/>
                <w:bottom w:val="none" w:sz="0" w:space="0" w:color="auto"/>
                <w:right w:val="none" w:sz="0" w:space="0" w:color="auto"/>
              </w:divBdr>
            </w:div>
            <w:div w:id="1035884650">
              <w:marLeft w:val="0"/>
              <w:marRight w:val="0"/>
              <w:marTop w:val="0"/>
              <w:marBottom w:val="0"/>
              <w:divBdr>
                <w:top w:val="none" w:sz="0" w:space="0" w:color="auto"/>
                <w:left w:val="none" w:sz="0" w:space="0" w:color="auto"/>
                <w:bottom w:val="none" w:sz="0" w:space="0" w:color="auto"/>
                <w:right w:val="none" w:sz="0" w:space="0" w:color="auto"/>
              </w:divBdr>
            </w:div>
            <w:div w:id="121273248">
              <w:marLeft w:val="0"/>
              <w:marRight w:val="0"/>
              <w:marTop w:val="0"/>
              <w:marBottom w:val="0"/>
              <w:divBdr>
                <w:top w:val="none" w:sz="0" w:space="0" w:color="auto"/>
                <w:left w:val="none" w:sz="0" w:space="0" w:color="auto"/>
                <w:bottom w:val="none" w:sz="0" w:space="0" w:color="auto"/>
                <w:right w:val="none" w:sz="0" w:space="0" w:color="auto"/>
              </w:divBdr>
            </w:div>
            <w:div w:id="1654523542">
              <w:marLeft w:val="0"/>
              <w:marRight w:val="0"/>
              <w:marTop w:val="0"/>
              <w:marBottom w:val="0"/>
              <w:divBdr>
                <w:top w:val="none" w:sz="0" w:space="0" w:color="auto"/>
                <w:left w:val="none" w:sz="0" w:space="0" w:color="auto"/>
                <w:bottom w:val="none" w:sz="0" w:space="0" w:color="auto"/>
                <w:right w:val="none" w:sz="0" w:space="0" w:color="auto"/>
              </w:divBdr>
            </w:div>
            <w:div w:id="847330875">
              <w:marLeft w:val="0"/>
              <w:marRight w:val="0"/>
              <w:marTop w:val="0"/>
              <w:marBottom w:val="0"/>
              <w:divBdr>
                <w:top w:val="none" w:sz="0" w:space="0" w:color="auto"/>
                <w:left w:val="none" w:sz="0" w:space="0" w:color="auto"/>
                <w:bottom w:val="none" w:sz="0" w:space="0" w:color="auto"/>
                <w:right w:val="none" w:sz="0" w:space="0" w:color="auto"/>
              </w:divBdr>
            </w:div>
            <w:div w:id="2115008535">
              <w:marLeft w:val="0"/>
              <w:marRight w:val="0"/>
              <w:marTop w:val="0"/>
              <w:marBottom w:val="0"/>
              <w:divBdr>
                <w:top w:val="none" w:sz="0" w:space="0" w:color="auto"/>
                <w:left w:val="none" w:sz="0" w:space="0" w:color="auto"/>
                <w:bottom w:val="none" w:sz="0" w:space="0" w:color="auto"/>
                <w:right w:val="none" w:sz="0" w:space="0" w:color="auto"/>
              </w:divBdr>
            </w:div>
            <w:div w:id="1143473820">
              <w:marLeft w:val="0"/>
              <w:marRight w:val="0"/>
              <w:marTop w:val="0"/>
              <w:marBottom w:val="0"/>
              <w:divBdr>
                <w:top w:val="none" w:sz="0" w:space="0" w:color="auto"/>
                <w:left w:val="none" w:sz="0" w:space="0" w:color="auto"/>
                <w:bottom w:val="none" w:sz="0" w:space="0" w:color="auto"/>
                <w:right w:val="none" w:sz="0" w:space="0" w:color="auto"/>
              </w:divBdr>
            </w:div>
            <w:div w:id="547030859">
              <w:marLeft w:val="0"/>
              <w:marRight w:val="0"/>
              <w:marTop w:val="0"/>
              <w:marBottom w:val="0"/>
              <w:divBdr>
                <w:top w:val="none" w:sz="0" w:space="0" w:color="auto"/>
                <w:left w:val="none" w:sz="0" w:space="0" w:color="auto"/>
                <w:bottom w:val="none" w:sz="0" w:space="0" w:color="auto"/>
                <w:right w:val="none" w:sz="0" w:space="0" w:color="auto"/>
              </w:divBdr>
            </w:div>
            <w:div w:id="1313674017">
              <w:marLeft w:val="0"/>
              <w:marRight w:val="0"/>
              <w:marTop w:val="0"/>
              <w:marBottom w:val="0"/>
              <w:divBdr>
                <w:top w:val="none" w:sz="0" w:space="0" w:color="auto"/>
                <w:left w:val="none" w:sz="0" w:space="0" w:color="auto"/>
                <w:bottom w:val="none" w:sz="0" w:space="0" w:color="auto"/>
                <w:right w:val="none" w:sz="0" w:space="0" w:color="auto"/>
              </w:divBdr>
            </w:div>
            <w:div w:id="1549340846">
              <w:marLeft w:val="0"/>
              <w:marRight w:val="0"/>
              <w:marTop w:val="0"/>
              <w:marBottom w:val="0"/>
              <w:divBdr>
                <w:top w:val="none" w:sz="0" w:space="0" w:color="auto"/>
                <w:left w:val="none" w:sz="0" w:space="0" w:color="auto"/>
                <w:bottom w:val="none" w:sz="0" w:space="0" w:color="auto"/>
                <w:right w:val="none" w:sz="0" w:space="0" w:color="auto"/>
              </w:divBdr>
            </w:div>
            <w:div w:id="1272279985">
              <w:marLeft w:val="0"/>
              <w:marRight w:val="0"/>
              <w:marTop w:val="0"/>
              <w:marBottom w:val="0"/>
              <w:divBdr>
                <w:top w:val="none" w:sz="0" w:space="0" w:color="auto"/>
                <w:left w:val="none" w:sz="0" w:space="0" w:color="auto"/>
                <w:bottom w:val="none" w:sz="0" w:space="0" w:color="auto"/>
                <w:right w:val="none" w:sz="0" w:space="0" w:color="auto"/>
              </w:divBdr>
            </w:div>
            <w:div w:id="19992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51899">
      <w:bodyDiv w:val="1"/>
      <w:marLeft w:val="0"/>
      <w:marRight w:val="0"/>
      <w:marTop w:val="0"/>
      <w:marBottom w:val="0"/>
      <w:divBdr>
        <w:top w:val="none" w:sz="0" w:space="0" w:color="auto"/>
        <w:left w:val="none" w:sz="0" w:space="0" w:color="auto"/>
        <w:bottom w:val="none" w:sz="0" w:space="0" w:color="auto"/>
        <w:right w:val="none" w:sz="0" w:space="0" w:color="auto"/>
      </w:divBdr>
    </w:div>
    <w:div w:id="721247609">
      <w:bodyDiv w:val="1"/>
      <w:marLeft w:val="0"/>
      <w:marRight w:val="0"/>
      <w:marTop w:val="0"/>
      <w:marBottom w:val="0"/>
      <w:divBdr>
        <w:top w:val="none" w:sz="0" w:space="0" w:color="auto"/>
        <w:left w:val="none" w:sz="0" w:space="0" w:color="auto"/>
        <w:bottom w:val="none" w:sz="0" w:space="0" w:color="auto"/>
        <w:right w:val="none" w:sz="0" w:space="0" w:color="auto"/>
      </w:divBdr>
    </w:div>
    <w:div w:id="730808907">
      <w:bodyDiv w:val="1"/>
      <w:marLeft w:val="0"/>
      <w:marRight w:val="0"/>
      <w:marTop w:val="0"/>
      <w:marBottom w:val="0"/>
      <w:divBdr>
        <w:top w:val="none" w:sz="0" w:space="0" w:color="auto"/>
        <w:left w:val="none" w:sz="0" w:space="0" w:color="auto"/>
        <w:bottom w:val="none" w:sz="0" w:space="0" w:color="auto"/>
        <w:right w:val="none" w:sz="0" w:space="0" w:color="auto"/>
      </w:divBdr>
    </w:div>
    <w:div w:id="782504603">
      <w:bodyDiv w:val="1"/>
      <w:marLeft w:val="0"/>
      <w:marRight w:val="0"/>
      <w:marTop w:val="0"/>
      <w:marBottom w:val="0"/>
      <w:divBdr>
        <w:top w:val="none" w:sz="0" w:space="0" w:color="auto"/>
        <w:left w:val="none" w:sz="0" w:space="0" w:color="auto"/>
        <w:bottom w:val="none" w:sz="0" w:space="0" w:color="auto"/>
        <w:right w:val="none" w:sz="0" w:space="0" w:color="auto"/>
      </w:divBdr>
    </w:div>
    <w:div w:id="821893641">
      <w:bodyDiv w:val="1"/>
      <w:marLeft w:val="0"/>
      <w:marRight w:val="0"/>
      <w:marTop w:val="0"/>
      <w:marBottom w:val="0"/>
      <w:divBdr>
        <w:top w:val="none" w:sz="0" w:space="0" w:color="auto"/>
        <w:left w:val="none" w:sz="0" w:space="0" w:color="auto"/>
        <w:bottom w:val="none" w:sz="0" w:space="0" w:color="auto"/>
        <w:right w:val="none" w:sz="0" w:space="0" w:color="auto"/>
      </w:divBdr>
    </w:div>
    <w:div w:id="871722053">
      <w:bodyDiv w:val="1"/>
      <w:marLeft w:val="0"/>
      <w:marRight w:val="0"/>
      <w:marTop w:val="0"/>
      <w:marBottom w:val="0"/>
      <w:divBdr>
        <w:top w:val="none" w:sz="0" w:space="0" w:color="auto"/>
        <w:left w:val="none" w:sz="0" w:space="0" w:color="auto"/>
        <w:bottom w:val="none" w:sz="0" w:space="0" w:color="auto"/>
        <w:right w:val="none" w:sz="0" w:space="0" w:color="auto"/>
      </w:divBdr>
      <w:divsChild>
        <w:div w:id="1548491009">
          <w:marLeft w:val="0"/>
          <w:marRight w:val="0"/>
          <w:marTop w:val="0"/>
          <w:marBottom w:val="0"/>
          <w:divBdr>
            <w:top w:val="none" w:sz="0" w:space="0" w:color="auto"/>
            <w:left w:val="none" w:sz="0" w:space="0" w:color="auto"/>
            <w:bottom w:val="none" w:sz="0" w:space="0" w:color="auto"/>
            <w:right w:val="none" w:sz="0" w:space="0" w:color="auto"/>
          </w:divBdr>
        </w:div>
        <w:div w:id="1553156116">
          <w:marLeft w:val="0"/>
          <w:marRight w:val="0"/>
          <w:marTop w:val="0"/>
          <w:marBottom w:val="0"/>
          <w:divBdr>
            <w:top w:val="none" w:sz="0" w:space="0" w:color="auto"/>
            <w:left w:val="none" w:sz="0" w:space="0" w:color="auto"/>
            <w:bottom w:val="none" w:sz="0" w:space="0" w:color="auto"/>
            <w:right w:val="none" w:sz="0" w:space="0" w:color="auto"/>
          </w:divBdr>
        </w:div>
      </w:divsChild>
    </w:div>
    <w:div w:id="986545186">
      <w:bodyDiv w:val="1"/>
      <w:marLeft w:val="0"/>
      <w:marRight w:val="0"/>
      <w:marTop w:val="0"/>
      <w:marBottom w:val="0"/>
      <w:divBdr>
        <w:top w:val="none" w:sz="0" w:space="0" w:color="auto"/>
        <w:left w:val="none" w:sz="0" w:space="0" w:color="auto"/>
        <w:bottom w:val="none" w:sz="0" w:space="0" w:color="auto"/>
        <w:right w:val="none" w:sz="0" w:space="0" w:color="auto"/>
      </w:divBdr>
    </w:div>
    <w:div w:id="1033270897">
      <w:bodyDiv w:val="1"/>
      <w:marLeft w:val="0"/>
      <w:marRight w:val="0"/>
      <w:marTop w:val="0"/>
      <w:marBottom w:val="0"/>
      <w:divBdr>
        <w:top w:val="none" w:sz="0" w:space="0" w:color="auto"/>
        <w:left w:val="none" w:sz="0" w:space="0" w:color="auto"/>
        <w:bottom w:val="none" w:sz="0" w:space="0" w:color="auto"/>
        <w:right w:val="none" w:sz="0" w:space="0" w:color="auto"/>
      </w:divBdr>
    </w:div>
    <w:div w:id="1037855866">
      <w:bodyDiv w:val="1"/>
      <w:marLeft w:val="0"/>
      <w:marRight w:val="0"/>
      <w:marTop w:val="0"/>
      <w:marBottom w:val="0"/>
      <w:divBdr>
        <w:top w:val="none" w:sz="0" w:space="0" w:color="auto"/>
        <w:left w:val="none" w:sz="0" w:space="0" w:color="auto"/>
        <w:bottom w:val="none" w:sz="0" w:space="0" w:color="auto"/>
        <w:right w:val="none" w:sz="0" w:space="0" w:color="auto"/>
      </w:divBdr>
    </w:div>
    <w:div w:id="1267616280">
      <w:bodyDiv w:val="1"/>
      <w:marLeft w:val="0"/>
      <w:marRight w:val="0"/>
      <w:marTop w:val="0"/>
      <w:marBottom w:val="0"/>
      <w:divBdr>
        <w:top w:val="none" w:sz="0" w:space="0" w:color="auto"/>
        <w:left w:val="none" w:sz="0" w:space="0" w:color="auto"/>
        <w:bottom w:val="none" w:sz="0" w:space="0" w:color="auto"/>
        <w:right w:val="none" w:sz="0" w:space="0" w:color="auto"/>
      </w:divBdr>
    </w:div>
    <w:div w:id="1388916123">
      <w:bodyDiv w:val="1"/>
      <w:marLeft w:val="0"/>
      <w:marRight w:val="0"/>
      <w:marTop w:val="0"/>
      <w:marBottom w:val="0"/>
      <w:divBdr>
        <w:top w:val="none" w:sz="0" w:space="0" w:color="auto"/>
        <w:left w:val="none" w:sz="0" w:space="0" w:color="auto"/>
        <w:bottom w:val="none" w:sz="0" w:space="0" w:color="auto"/>
        <w:right w:val="none" w:sz="0" w:space="0" w:color="auto"/>
      </w:divBdr>
    </w:div>
    <w:div w:id="1434009660">
      <w:bodyDiv w:val="1"/>
      <w:marLeft w:val="0"/>
      <w:marRight w:val="0"/>
      <w:marTop w:val="0"/>
      <w:marBottom w:val="0"/>
      <w:divBdr>
        <w:top w:val="none" w:sz="0" w:space="0" w:color="auto"/>
        <w:left w:val="none" w:sz="0" w:space="0" w:color="auto"/>
        <w:bottom w:val="none" w:sz="0" w:space="0" w:color="auto"/>
        <w:right w:val="none" w:sz="0" w:space="0" w:color="auto"/>
      </w:divBdr>
    </w:div>
    <w:div w:id="1482772928">
      <w:bodyDiv w:val="1"/>
      <w:marLeft w:val="0"/>
      <w:marRight w:val="0"/>
      <w:marTop w:val="0"/>
      <w:marBottom w:val="0"/>
      <w:divBdr>
        <w:top w:val="none" w:sz="0" w:space="0" w:color="auto"/>
        <w:left w:val="none" w:sz="0" w:space="0" w:color="auto"/>
        <w:bottom w:val="none" w:sz="0" w:space="0" w:color="auto"/>
        <w:right w:val="none" w:sz="0" w:space="0" w:color="auto"/>
      </w:divBdr>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
    <w:div w:id="1561332366">
      <w:bodyDiv w:val="1"/>
      <w:marLeft w:val="0"/>
      <w:marRight w:val="0"/>
      <w:marTop w:val="0"/>
      <w:marBottom w:val="0"/>
      <w:divBdr>
        <w:top w:val="none" w:sz="0" w:space="0" w:color="auto"/>
        <w:left w:val="none" w:sz="0" w:space="0" w:color="auto"/>
        <w:bottom w:val="none" w:sz="0" w:space="0" w:color="auto"/>
        <w:right w:val="none" w:sz="0" w:space="0" w:color="auto"/>
      </w:divBdr>
    </w:div>
    <w:div w:id="1600528281">
      <w:bodyDiv w:val="1"/>
      <w:marLeft w:val="0"/>
      <w:marRight w:val="0"/>
      <w:marTop w:val="0"/>
      <w:marBottom w:val="0"/>
      <w:divBdr>
        <w:top w:val="none" w:sz="0" w:space="0" w:color="auto"/>
        <w:left w:val="none" w:sz="0" w:space="0" w:color="auto"/>
        <w:bottom w:val="none" w:sz="0" w:space="0" w:color="auto"/>
        <w:right w:val="none" w:sz="0" w:space="0" w:color="auto"/>
      </w:divBdr>
      <w:divsChild>
        <w:div w:id="1938515819">
          <w:marLeft w:val="0"/>
          <w:marRight w:val="0"/>
          <w:marTop w:val="0"/>
          <w:marBottom w:val="0"/>
          <w:divBdr>
            <w:top w:val="none" w:sz="0" w:space="0" w:color="auto"/>
            <w:left w:val="none" w:sz="0" w:space="0" w:color="auto"/>
            <w:bottom w:val="none" w:sz="0" w:space="0" w:color="auto"/>
            <w:right w:val="none" w:sz="0" w:space="0" w:color="auto"/>
          </w:divBdr>
        </w:div>
        <w:div w:id="469522359">
          <w:marLeft w:val="0"/>
          <w:marRight w:val="0"/>
          <w:marTop w:val="0"/>
          <w:marBottom w:val="0"/>
          <w:divBdr>
            <w:top w:val="none" w:sz="0" w:space="0" w:color="auto"/>
            <w:left w:val="none" w:sz="0" w:space="0" w:color="auto"/>
            <w:bottom w:val="none" w:sz="0" w:space="0" w:color="auto"/>
            <w:right w:val="none" w:sz="0" w:space="0" w:color="auto"/>
          </w:divBdr>
        </w:div>
        <w:div w:id="894394681">
          <w:marLeft w:val="0"/>
          <w:marRight w:val="0"/>
          <w:marTop w:val="0"/>
          <w:marBottom w:val="0"/>
          <w:divBdr>
            <w:top w:val="none" w:sz="0" w:space="0" w:color="auto"/>
            <w:left w:val="none" w:sz="0" w:space="0" w:color="auto"/>
            <w:bottom w:val="none" w:sz="0" w:space="0" w:color="auto"/>
            <w:right w:val="none" w:sz="0" w:space="0" w:color="auto"/>
          </w:divBdr>
        </w:div>
      </w:divsChild>
    </w:div>
    <w:div w:id="1665934061">
      <w:bodyDiv w:val="1"/>
      <w:marLeft w:val="0"/>
      <w:marRight w:val="0"/>
      <w:marTop w:val="0"/>
      <w:marBottom w:val="0"/>
      <w:divBdr>
        <w:top w:val="none" w:sz="0" w:space="0" w:color="auto"/>
        <w:left w:val="none" w:sz="0" w:space="0" w:color="auto"/>
        <w:bottom w:val="none" w:sz="0" w:space="0" w:color="auto"/>
        <w:right w:val="none" w:sz="0" w:space="0" w:color="auto"/>
      </w:divBdr>
    </w:div>
    <w:div w:id="1771193073">
      <w:bodyDiv w:val="1"/>
      <w:marLeft w:val="0"/>
      <w:marRight w:val="0"/>
      <w:marTop w:val="0"/>
      <w:marBottom w:val="0"/>
      <w:divBdr>
        <w:top w:val="none" w:sz="0" w:space="0" w:color="auto"/>
        <w:left w:val="none" w:sz="0" w:space="0" w:color="auto"/>
        <w:bottom w:val="none" w:sz="0" w:space="0" w:color="auto"/>
        <w:right w:val="none" w:sz="0" w:space="0" w:color="auto"/>
      </w:divBdr>
    </w:div>
    <w:div w:id="1858694155">
      <w:bodyDiv w:val="1"/>
      <w:marLeft w:val="0"/>
      <w:marRight w:val="0"/>
      <w:marTop w:val="0"/>
      <w:marBottom w:val="0"/>
      <w:divBdr>
        <w:top w:val="none" w:sz="0" w:space="0" w:color="auto"/>
        <w:left w:val="none" w:sz="0" w:space="0" w:color="auto"/>
        <w:bottom w:val="none" w:sz="0" w:space="0" w:color="auto"/>
        <w:right w:val="none" w:sz="0" w:space="0" w:color="auto"/>
      </w:divBdr>
    </w:div>
    <w:div w:id="1893272648">
      <w:bodyDiv w:val="1"/>
      <w:marLeft w:val="0"/>
      <w:marRight w:val="0"/>
      <w:marTop w:val="0"/>
      <w:marBottom w:val="0"/>
      <w:divBdr>
        <w:top w:val="none" w:sz="0" w:space="0" w:color="auto"/>
        <w:left w:val="none" w:sz="0" w:space="0" w:color="auto"/>
        <w:bottom w:val="none" w:sz="0" w:space="0" w:color="auto"/>
        <w:right w:val="none" w:sz="0" w:space="0" w:color="auto"/>
      </w:divBdr>
    </w:div>
    <w:div w:id="1906798540">
      <w:bodyDiv w:val="1"/>
      <w:marLeft w:val="0"/>
      <w:marRight w:val="0"/>
      <w:marTop w:val="0"/>
      <w:marBottom w:val="0"/>
      <w:divBdr>
        <w:top w:val="none" w:sz="0" w:space="0" w:color="auto"/>
        <w:left w:val="none" w:sz="0" w:space="0" w:color="auto"/>
        <w:bottom w:val="none" w:sz="0" w:space="0" w:color="auto"/>
        <w:right w:val="none" w:sz="0" w:space="0" w:color="auto"/>
      </w:divBdr>
      <w:divsChild>
        <w:div w:id="1293246815">
          <w:marLeft w:val="0"/>
          <w:marRight w:val="0"/>
          <w:marTop w:val="0"/>
          <w:marBottom w:val="0"/>
          <w:divBdr>
            <w:top w:val="none" w:sz="0" w:space="0" w:color="auto"/>
            <w:left w:val="none" w:sz="0" w:space="0" w:color="auto"/>
            <w:bottom w:val="none" w:sz="0" w:space="0" w:color="auto"/>
            <w:right w:val="none" w:sz="0" w:space="0" w:color="auto"/>
          </w:divBdr>
        </w:div>
        <w:div w:id="708578481">
          <w:marLeft w:val="0"/>
          <w:marRight w:val="0"/>
          <w:marTop w:val="0"/>
          <w:marBottom w:val="0"/>
          <w:divBdr>
            <w:top w:val="none" w:sz="0" w:space="0" w:color="auto"/>
            <w:left w:val="none" w:sz="0" w:space="0" w:color="auto"/>
            <w:bottom w:val="none" w:sz="0" w:space="0" w:color="auto"/>
            <w:right w:val="none" w:sz="0" w:space="0" w:color="auto"/>
          </w:divBdr>
        </w:div>
        <w:div w:id="1892769588">
          <w:marLeft w:val="0"/>
          <w:marRight w:val="0"/>
          <w:marTop w:val="0"/>
          <w:marBottom w:val="0"/>
          <w:divBdr>
            <w:top w:val="none" w:sz="0" w:space="0" w:color="auto"/>
            <w:left w:val="none" w:sz="0" w:space="0" w:color="auto"/>
            <w:bottom w:val="none" w:sz="0" w:space="0" w:color="auto"/>
            <w:right w:val="none" w:sz="0" w:space="0" w:color="auto"/>
          </w:divBdr>
        </w:div>
      </w:divsChild>
    </w:div>
    <w:div w:id="1961178583">
      <w:bodyDiv w:val="1"/>
      <w:marLeft w:val="0"/>
      <w:marRight w:val="0"/>
      <w:marTop w:val="0"/>
      <w:marBottom w:val="0"/>
      <w:divBdr>
        <w:top w:val="none" w:sz="0" w:space="0" w:color="auto"/>
        <w:left w:val="none" w:sz="0" w:space="0" w:color="auto"/>
        <w:bottom w:val="none" w:sz="0" w:space="0" w:color="auto"/>
        <w:right w:val="none" w:sz="0" w:space="0" w:color="auto"/>
      </w:divBdr>
    </w:div>
    <w:div w:id="2109157663">
      <w:bodyDiv w:val="1"/>
      <w:marLeft w:val="0"/>
      <w:marRight w:val="0"/>
      <w:marTop w:val="0"/>
      <w:marBottom w:val="0"/>
      <w:divBdr>
        <w:top w:val="none" w:sz="0" w:space="0" w:color="auto"/>
        <w:left w:val="none" w:sz="0" w:space="0" w:color="auto"/>
        <w:bottom w:val="none" w:sz="0" w:space="0" w:color="auto"/>
        <w:right w:val="none" w:sz="0" w:space="0" w:color="auto"/>
      </w:divBdr>
      <w:divsChild>
        <w:div w:id="415636982">
          <w:marLeft w:val="0"/>
          <w:marRight w:val="0"/>
          <w:marTop w:val="0"/>
          <w:marBottom w:val="0"/>
          <w:divBdr>
            <w:top w:val="none" w:sz="0" w:space="0" w:color="auto"/>
            <w:left w:val="none" w:sz="0" w:space="0" w:color="auto"/>
            <w:bottom w:val="none" w:sz="0" w:space="0" w:color="auto"/>
            <w:right w:val="none" w:sz="0" w:space="0" w:color="auto"/>
          </w:divBdr>
        </w:div>
        <w:div w:id="2079672468">
          <w:marLeft w:val="0"/>
          <w:marRight w:val="0"/>
          <w:marTop w:val="0"/>
          <w:marBottom w:val="0"/>
          <w:divBdr>
            <w:top w:val="none" w:sz="0" w:space="0" w:color="auto"/>
            <w:left w:val="none" w:sz="0" w:space="0" w:color="auto"/>
            <w:bottom w:val="none" w:sz="0" w:space="0" w:color="auto"/>
            <w:right w:val="none" w:sz="0" w:space="0" w:color="auto"/>
          </w:divBdr>
        </w:div>
      </w:divsChild>
    </w:div>
    <w:div w:id="214711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1967A00053/latest/text" TargetMode="External"/><Relationship Id="rId26" Type="http://schemas.openxmlformats.org/officeDocument/2006/relationships/hyperlink" Target="https://www.unodc.org/unodc/en/commissions/CND/conventions.html" TargetMode="External"/><Relationship Id="rId39" Type="http://schemas.openxmlformats.org/officeDocument/2006/relationships/hyperlink" Target="https://www.odc.gov.au/resources/guidance/guidance-fees-and-charges" TargetMode="External"/><Relationship Id="rId34" Type="http://schemas.openxmlformats.org/officeDocument/2006/relationships/hyperlink" Target="https://www.legislation.gov.au/Series/C1914A00012" TargetMode="External"/><Relationship Id="rId42" Type="http://schemas.openxmlformats.org/officeDocument/2006/relationships/diagramData" Target="diagrams/data1.xml"/><Relationship Id="rId47" Type="http://schemas.openxmlformats.org/officeDocument/2006/relationships/hyperlink" Target="https://www.legislation.gov.au/C2024A00040/latest/text"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dc.gov.au" TargetMode="External"/><Relationship Id="rId29" Type="http://schemas.openxmlformats.org/officeDocument/2006/relationships/hyperlink" Target="https://www.legislation.gov.au/Details/F2022C00312" TargetMode="External"/><Relationship Id="rId11" Type="http://schemas.openxmlformats.org/officeDocument/2006/relationships/hyperlink" Target="https://www.unodc.org/unodc/en/treaties/psychotropics.html?ref=menuside" TargetMode="External"/><Relationship Id="rId24" Type="http://schemas.openxmlformats.org/officeDocument/2006/relationships/hyperlink" Target="https://www.legislation.gov.au/C1967A00053/latest/text" TargetMode="External"/><Relationship Id="rId32" Type="http://schemas.openxmlformats.org/officeDocument/2006/relationships/hyperlink" Target="https://www.legislation.gov.au/Series/C2014A00093" TargetMode="External"/><Relationship Id="rId37" Type="http://schemas.openxmlformats.org/officeDocument/2006/relationships/hyperlink" Target="mailto:odc.compliance@health.gov.au" TargetMode="External"/><Relationship Id="rId40" Type="http://schemas.openxmlformats.org/officeDocument/2006/relationships/hyperlink" Target="https://www.ag.gov.au/integrity/publications/australian-government-investigations-standards-2011" TargetMode="External"/><Relationship Id="rId45" Type="http://schemas.openxmlformats.org/officeDocument/2006/relationships/diagramColors" Target="diagrams/colors1.xm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dc.gov.au/risk-management-approach-cultivation-production-and-manufacture-medicinal-cannabis" TargetMode="External"/><Relationship Id="rId23" Type="http://schemas.openxmlformats.org/officeDocument/2006/relationships/image" Target="media/image20.png"/><Relationship Id="rId28" Type="http://schemas.openxmlformats.org/officeDocument/2006/relationships/hyperlink" Target="https://www.legislation.gov.au/Series/F1996B03651" TargetMode="External"/><Relationship Id="rId36" Type="http://schemas.openxmlformats.org/officeDocument/2006/relationships/image" Target="media/image4.jpg"/><Relationship Id="rId49" Type="http://schemas.openxmlformats.org/officeDocument/2006/relationships/header" Target="header1.xml"/><Relationship Id="rId10" Type="http://schemas.openxmlformats.org/officeDocument/2006/relationships/hyperlink" Target="https://www.incb.org/incb/en/narcotic-drugs/1961_Convention.html" TargetMode="External"/><Relationship Id="rId31" Type="http://schemas.openxmlformats.org/officeDocument/2006/relationships/hyperlink" Target="https://www.legislation.gov.au/Series/C2016A00075" TargetMode="External"/><Relationship Id="rId44" Type="http://schemas.openxmlformats.org/officeDocument/2006/relationships/diagramQuickStyle" Target="diagrams/quickStyle1.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DC.compliance@health.gov.au" TargetMode="External"/><Relationship Id="rId14" Type="http://schemas.openxmlformats.org/officeDocument/2006/relationships/image" Target="media/image2.png"/><Relationship Id="rId27" Type="http://schemas.openxmlformats.org/officeDocument/2006/relationships/hyperlink" Target="https://www.legislation.gov.au/Series/C1901A00006" TargetMode="External"/><Relationship Id="rId30" Type="http://schemas.openxmlformats.org/officeDocument/2006/relationships/hyperlink" Target="https://www.legislation.gov.au/Series/F2016L01613" TargetMode="External"/><Relationship Id="rId35" Type="http://schemas.openxmlformats.org/officeDocument/2006/relationships/image" Target="media/image3.png"/><Relationship Id="rId43" Type="http://schemas.openxmlformats.org/officeDocument/2006/relationships/diagramLayout" Target="diagrams/layout1.xml"/><Relationship Id="rId48" Type="http://schemas.openxmlformats.org/officeDocument/2006/relationships/hyperlink" Target="https://www.legislation.gov.au/Series/F2017L01698"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unodc.org/pdf/convention_1988_en.pdf" TargetMode="External"/><Relationship Id="rId17" Type="http://schemas.openxmlformats.org/officeDocument/2006/relationships/customXml" Target="ink/ink1.xml"/><Relationship Id="rId25" Type="http://schemas.openxmlformats.org/officeDocument/2006/relationships/hyperlink" Target="https://www.unodc.org/unodc/en/commissions/CND/conventions.html" TargetMode="External"/><Relationship Id="rId33" Type="http://schemas.openxmlformats.org/officeDocument/2006/relationships/hyperlink" Target="https://www.legislation.gov.au/Series/C2004A04868" TargetMode="External"/><Relationship Id="rId38" Type="http://schemas.openxmlformats.org/officeDocument/2006/relationships/hyperlink" Target="https://www.odc.gov.au/odc-tip-off-form" TargetMode="External"/><Relationship Id="rId46" Type="http://schemas.microsoft.com/office/2007/relationships/diagramDrawing" Target="diagrams/drawing1.xml"/><Relationship Id="rId41" Type="http://schemas.openxmlformats.org/officeDocument/2006/relationships/image" Target="media/image5.jp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265576-7F78-4654-91CD-B89E5CA80940}" type="doc">
      <dgm:prSet loTypeId="urn:microsoft.com/office/officeart/2005/8/layout/pyramid1" loCatId="pyramid" qsTypeId="urn:microsoft.com/office/officeart/2005/8/quickstyle/simple1" qsCatId="simple" csTypeId="urn:microsoft.com/office/officeart/2005/8/colors/accent1_2" csCatId="accent1" phldr="1"/>
      <dgm:spPr/>
    </dgm:pt>
    <dgm:pt modelId="{892FC546-D7ED-4F22-94A4-E5A00E330AF7}">
      <dgm:prSet phldrT="[Text]"/>
      <dgm:spPr>
        <a:solidFill>
          <a:srgbClr val="FF0000"/>
        </a:solidFill>
      </dgm:spPr>
      <dgm:t>
        <a:bodyPr anchor="b" anchorCtr="0"/>
        <a:lstStyle/>
        <a:p>
          <a:pPr algn="ctr"/>
          <a:r>
            <a:rPr lang="en-AU" b="1"/>
            <a:t>Prosecution</a:t>
          </a:r>
        </a:p>
        <a:p>
          <a:pPr algn="ctr"/>
          <a:r>
            <a:rPr lang="en-AU" b="1"/>
            <a:t>/Civil penality</a:t>
          </a:r>
        </a:p>
      </dgm:t>
    </dgm:pt>
    <dgm:pt modelId="{44C1DEEF-237D-41AF-956D-4CA96156F429}" type="parTrans" cxnId="{775DF65E-4C92-46CB-B5F2-C438A6B7E702}">
      <dgm:prSet/>
      <dgm:spPr/>
      <dgm:t>
        <a:bodyPr/>
        <a:lstStyle/>
        <a:p>
          <a:pPr algn="ctr"/>
          <a:endParaRPr lang="en-AU"/>
        </a:p>
      </dgm:t>
    </dgm:pt>
    <dgm:pt modelId="{5511E1A9-CDEB-4376-AA5F-E78568912DED}" type="sibTrans" cxnId="{775DF65E-4C92-46CB-B5F2-C438A6B7E702}">
      <dgm:prSet/>
      <dgm:spPr/>
      <dgm:t>
        <a:bodyPr/>
        <a:lstStyle/>
        <a:p>
          <a:pPr algn="ctr"/>
          <a:endParaRPr lang="en-AU"/>
        </a:p>
      </dgm:t>
    </dgm:pt>
    <dgm:pt modelId="{97B65B32-E146-49F2-AB1D-F886CB72A1D2}">
      <dgm:prSet phldrT="[Text]"/>
      <dgm:spPr>
        <a:solidFill>
          <a:srgbClr val="FF9933"/>
        </a:solidFill>
      </dgm:spPr>
      <dgm:t>
        <a:bodyPr/>
        <a:lstStyle/>
        <a:p>
          <a:pPr algn="ctr"/>
          <a:r>
            <a:rPr lang="en-AU" b="1"/>
            <a:t>Licence and/or Permit Revocation</a:t>
          </a:r>
        </a:p>
      </dgm:t>
    </dgm:pt>
    <dgm:pt modelId="{76273BB3-6BC9-45DD-B7C3-CD90AC6C779C}" type="parTrans" cxnId="{74CD098D-E6ED-4AE9-AC93-6243572C69BC}">
      <dgm:prSet/>
      <dgm:spPr/>
      <dgm:t>
        <a:bodyPr/>
        <a:lstStyle/>
        <a:p>
          <a:pPr algn="ctr"/>
          <a:endParaRPr lang="en-AU"/>
        </a:p>
      </dgm:t>
    </dgm:pt>
    <dgm:pt modelId="{588A28EC-36CC-4E8F-911F-75F41F154DAB}" type="sibTrans" cxnId="{74CD098D-E6ED-4AE9-AC93-6243572C69BC}">
      <dgm:prSet/>
      <dgm:spPr/>
      <dgm:t>
        <a:bodyPr/>
        <a:lstStyle/>
        <a:p>
          <a:pPr algn="ctr"/>
          <a:endParaRPr lang="en-AU"/>
        </a:p>
      </dgm:t>
    </dgm:pt>
    <dgm:pt modelId="{BBD96CB2-DBEE-4D53-930D-C9D751A44032}">
      <dgm:prSet/>
      <dgm:spPr>
        <a:solidFill>
          <a:srgbClr val="FFDD4B"/>
        </a:solidFill>
      </dgm:spPr>
      <dgm:t>
        <a:bodyPr/>
        <a:lstStyle/>
        <a:p>
          <a:pPr algn="ctr"/>
          <a:r>
            <a:rPr lang="en-AU" b="1"/>
            <a:t>Licence and/or Permit suspension</a:t>
          </a:r>
        </a:p>
      </dgm:t>
    </dgm:pt>
    <dgm:pt modelId="{29D15915-E76E-40AD-8B69-608796205309}" type="parTrans" cxnId="{DBA6F2F8-D3A1-4BB8-9088-2E53A1DCADFA}">
      <dgm:prSet/>
      <dgm:spPr/>
      <dgm:t>
        <a:bodyPr/>
        <a:lstStyle/>
        <a:p>
          <a:pPr algn="ctr"/>
          <a:endParaRPr lang="en-AU"/>
        </a:p>
      </dgm:t>
    </dgm:pt>
    <dgm:pt modelId="{0A4EB57A-9384-478C-BF8B-A0C85BA8D7DA}" type="sibTrans" cxnId="{DBA6F2F8-D3A1-4BB8-9088-2E53A1DCADFA}">
      <dgm:prSet/>
      <dgm:spPr/>
      <dgm:t>
        <a:bodyPr/>
        <a:lstStyle/>
        <a:p>
          <a:pPr algn="ctr"/>
          <a:endParaRPr lang="en-AU"/>
        </a:p>
      </dgm:t>
    </dgm:pt>
    <dgm:pt modelId="{DCC7B971-1EBB-4B09-A8BF-FA7803E46C48}">
      <dgm:prSet/>
      <dgm:spPr>
        <a:solidFill>
          <a:srgbClr val="92D050"/>
        </a:solidFill>
      </dgm:spPr>
      <dgm:t>
        <a:bodyPr/>
        <a:lstStyle/>
        <a:p>
          <a:pPr algn="ctr"/>
          <a:r>
            <a:rPr lang="en-AU" b="1"/>
            <a:t>Coercive and enforcement regulatory powers</a:t>
          </a:r>
        </a:p>
      </dgm:t>
    </dgm:pt>
    <dgm:pt modelId="{CDF2479F-E16F-4317-A95B-A2121EC5873F}" type="parTrans" cxnId="{B53D658D-CA1A-461B-9FE0-0E6AE8E08BBD}">
      <dgm:prSet/>
      <dgm:spPr/>
      <dgm:t>
        <a:bodyPr/>
        <a:lstStyle/>
        <a:p>
          <a:pPr algn="ctr"/>
          <a:endParaRPr lang="en-AU"/>
        </a:p>
      </dgm:t>
    </dgm:pt>
    <dgm:pt modelId="{67B01B63-415D-477D-8728-9BE6B2325FFB}" type="sibTrans" cxnId="{B53D658D-CA1A-461B-9FE0-0E6AE8E08BBD}">
      <dgm:prSet/>
      <dgm:spPr/>
      <dgm:t>
        <a:bodyPr/>
        <a:lstStyle/>
        <a:p>
          <a:pPr algn="ctr"/>
          <a:endParaRPr lang="en-AU"/>
        </a:p>
      </dgm:t>
    </dgm:pt>
    <dgm:pt modelId="{9A2C33E5-570B-4E7E-AA27-49AE71E5F5A2}">
      <dgm:prSet/>
      <dgm:spPr>
        <a:solidFill>
          <a:srgbClr val="00B050"/>
        </a:solidFill>
      </dgm:spPr>
      <dgm:t>
        <a:bodyPr/>
        <a:lstStyle/>
        <a:p>
          <a:pPr algn="ctr"/>
          <a:r>
            <a:rPr lang="en-AU" b="1"/>
            <a:t>Secretary direction</a:t>
          </a:r>
        </a:p>
      </dgm:t>
    </dgm:pt>
    <dgm:pt modelId="{60445F3C-B4DB-41E9-ABD9-357136691587}" type="parTrans" cxnId="{0EDC9F3B-1FF3-48FB-9F6F-8D04DBA22EDD}">
      <dgm:prSet/>
      <dgm:spPr/>
      <dgm:t>
        <a:bodyPr/>
        <a:lstStyle/>
        <a:p>
          <a:pPr algn="ctr"/>
          <a:endParaRPr lang="en-AU"/>
        </a:p>
      </dgm:t>
    </dgm:pt>
    <dgm:pt modelId="{5A0D5185-FDCF-418E-AEC8-A152BD8B1959}" type="sibTrans" cxnId="{0EDC9F3B-1FF3-48FB-9F6F-8D04DBA22EDD}">
      <dgm:prSet/>
      <dgm:spPr/>
      <dgm:t>
        <a:bodyPr/>
        <a:lstStyle/>
        <a:p>
          <a:pPr algn="ctr"/>
          <a:endParaRPr lang="en-AU"/>
        </a:p>
      </dgm:t>
    </dgm:pt>
    <dgm:pt modelId="{BC873200-CF65-4132-847A-6556783713E1}">
      <dgm:prSet/>
      <dgm:spPr>
        <a:solidFill>
          <a:srgbClr val="04BBC4"/>
        </a:solidFill>
      </dgm:spPr>
      <dgm:t>
        <a:bodyPr/>
        <a:lstStyle/>
        <a:p>
          <a:pPr algn="ctr"/>
          <a:r>
            <a:rPr lang="en-AU" b="1"/>
            <a:t>Administrative activity</a:t>
          </a:r>
        </a:p>
      </dgm:t>
    </dgm:pt>
    <dgm:pt modelId="{B99ABD77-2C19-4F0C-B676-B1E914A28BC0}" type="parTrans" cxnId="{B0519D1B-30E8-4AA2-BB9B-EE30FB43F935}">
      <dgm:prSet/>
      <dgm:spPr/>
      <dgm:t>
        <a:bodyPr/>
        <a:lstStyle/>
        <a:p>
          <a:pPr algn="ctr"/>
          <a:endParaRPr lang="en-AU"/>
        </a:p>
      </dgm:t>
    </dgm:pt>
    <dgm:pt modelId="{BCD9DF33-4962-47D8-A6FB-4A4DDDA57C63}" type="sibTrans" cxnId="{B0519D1B-30E8-4AA2-BB9B-EE30FB43F935}">
      <dgm:prSet/>
      <dgm:spPr/>
      <dgm:t>
        <a:bodyPr/>
        <a:lstStyle/>
        <a:p>
          <a:pPr algn="ctr"/>
          <a:endParaRPr lang="en-AU"/>
        </a:p>
      </dgm:t>
    </dgm:pt>
    <dgm:pt modelId="{B7BEC8BF-6510-42E4-9C49-BCA0AE8256C8}">
      <dgm:prSet/>
      <dgm:spPr>
        <a:solidFill>
          <a:srgbClr val="00B0F0"/>
        </a:solidFill>
      </dgm:spPr>
      <dgm:t>
        <a:bodyPr/>
        <a:lstStyle/>
        <a:p>
          <a:pPr algn="ctr"/>
          <a:r>
            <a:rPr lang="en-AU" b="1"/>
            <a:t>Education</a:t>
          </a:r>
        </a:p>
      </dgm:t>
    </dgm:pt>
    <dgm:pt modelId="{9E0CE532-B884-4DA0-B604-002932AB48B0}" type="parTrans" cxnId="{B9CAC918-B1A5-41AE-9D4C-E01ADC1EE372}">
      <dgm:prSet/>
      <dgm:spPr/>
      <dgm:t>
        <a:bodyPr/>
        <a:lstStyle/>
        <a:p>
          <a:pPr algn="ctr"/>
          <a:endParaRPr lang="en-AU"/>
        </a:p>
      </dgm:t>
    </dgm:pt>
    <dgm:pt modelId="{EBA8A92E-1E25-4147-82C9-F96B524614B1}" type="sibTrans" cxnId="{B9CAC918-B1A5-41AE-9D4C-E01ADC1EE372}">
      <dgm:prSet/>
      <dgm:spPr/>
      <dgm:t>
        <a:bodyPr/>
        <a:lstStyle/>
        <a:p>
          <a:pPr algn="ctr"/>
          <a:endParaRPr lang="en-AU"/>
        </a:p>
      </dgm:t>
    </dgm:pt>
    <dgm:pt modelId="{CA7261FC-8AB5-4564-8E1B-CD2F6BEC80E2}" type="pres">
      <dgm:prSet presAssocID="{35265576-7F78-4654-91CD-B89E5CA80940}" presName="Name0" presStyleCnt="0">
        <dgm:presLayoutVars>
          <dgm:dir/>
          <dgm:animLvl val="lvl"/>
          <dgm:resizeHandles val="exact"/>
        </dgm:presLayoutVars>
      </dgm:prSet>
      <dgm:spPr/>
    </dgm:pt>
    <dgm:pt modelId="{827376AD-C09D-402A-BBE8-CEC3EBE2CB74}" type="pres">
      <dgm:prSet presAssocID="{892FC546-D7ED-4F22-94A4-E5A00E330AF7}" presName="Name8" presStyleCnt="0"/>
      <dgm:spPr/>
    </dgm:pt>
    <dgm:pt modelId="{D6324781-AA7E-46EC-BE54-F2B85DBB490E}" type="pres">
      <dgm:prSet presAssocID="{892FC546-D7ED-4F22-94A4-E5A00E330AF7}" presName="level" presStyleLbl="node1" presStyleIdx="0" presStyleCnt="7" custScaleY="173077">
        <dgm:presLayoutVars>
          <dgm:chMax val="1"/>
          <dgm:bulletEnabled val="1"/>
        </dgm:presLayoutVars>
      </dgm:prSet>
      <dgm:spPr/>
    </dgm:pt>
    <dgm:pt modelId="{EC33303F-F8B0-4E99-B30D-6580BEC219EE}" type="pres">
      <dgm:prSet presAssocID="{892FC546-D7ED-4F22-94A4-E5A00E330AF7}" presName="levelTx" presStyleLbl="revTx" presStyleIdx="0" presStyleCnt="0">
        <dgm:presLayoutVars>
          <dgm:chMax val="1"/>
          <dgm:bulletEnabled val="1"/>
        </dgm:presLayoutVars>
      </dgm:prSet>
      <dgm:spPr/>
    </dgm:pt>
    <dgm:pt modelId="{B334259F-BA32-4E35-8A7B-51E81793A38D}" type="pres">
      <dgm:prSet presAssocID="{97B65B32-E146-49F2-AB1D-F886CB72A1D2}" presName="Name8" presStyleCnt="0"/>
      <dgm:spPr/>
    </dgm:pt>
    <dgm:pt modelId="{987760A3-3C6E-4AA6-95C5-7DB810D0DFD5}" type="pres">
      <dgm:prSet presAssocID="{97B65B32-E146-49F2-AB1D-F886CB72A1D2}" presName="level" presStyleLbl="node1" presStyleIdx="1" presStyleCnt="7">
        <dgm:presLayoutVars>
          <dgm:chMax val="1"/>
          <dgm:bulletEnabled val="1"/>
        </dgm:presLayoutVars>
      </dgm:prSet>
      <dgm:spPr/>
    </dgm:pt>
    <dgm:pt modelId="{38EFE0DD-C8AB-4FC0-92C6-2C0D489D78B1}" type="pres">
      <dgm:prSet presAssocID="{97B65B32-E146-49F2-AB1D-F886CB72A1D2}" presName="levelTx" presStyleLbl="revTx" presStyleIdx="0" presStyleCnt="0">
        <dgm:presLayoutVars>
          <dgm:chMax val="1"/>
          <dgm:bulletEnabled val="1"/>
        </dgm:presLayoutVars>
      </dgm:prSet>
      <dgm:spPr/>
    </dgm:pt>
    <dgm:pt modelId="{2FDD75EC-0BB2-408C-BB59-F433DB6E3B25}" type="pres">
      <dgm:prSet presAssocID="{BBD96CB2-DBEE-4D53-930D-C9D751A44032}" presName="Name8" presStyleCnt="0"/>
      <dgm:spPr/>
    </dgm:pt>
    <dgm:pt modelId="{A60C7F62-1786-4D2F-986A-E7B3046250C0}" type="pres">
      <dgm:prSet presAssocID="{BBD96CB2-DBEE-4D53-930D-C9D751A44032}" presName="level" presStyleLbl="node1" presStyleIdx="2" presStyleCnt="7">
        <dgm:presLayoutVars>
          <dgm:chMax val="1"/>
          <dgm:bulletEnabled val="1"/>
        </dgm:presLayoutVars>
      </dgm:prSet>
      <dgm:spPr/>
    </dgm:pt>
    <dgm:pt modelId="{B4D76D58-191E-4941-9AA7-4EA18EE65DF9}" type="pres">
      <dgm:prSet presAssocID="{BBD96CB2-DBEE-4D53-930D-C9D751A44032}" presName="levelTx" presStyleLbl="revTx" presStyleIdx="0" presStyleCnt="0">
        <dgm:presLayoutVars>
          <dgm:chMax val="1"/>
          <dgm:bulletEnabled val="1"/>
        </dgm:presLayoutVars>
      </dgm:prSet>
      <dgm:spPr/>
    </dgm:pt>
    <dgm:pt modelId="{B337AEE3-F462-4AE2-9BBB-83776922B582}" type="pres">
      <dgm:prSet presAssocID="{DCC7B971-1EBB-4B09-A8BF-FA7803E46C48}" presName="Name8" presStyleCnt="0"/>
      <dgm:spPr/>
    </dgm:pt>
    <dgm:pt modelId="{9CBE8D2A-FC0C-4F70-8E27-09860416155C}" type="pres">
      <dgm:prSet presAssocID="{DCC7B971-1EBB-4B09-A8BF-FA7803E46C48}" presName="level" presStyleLbl="node1" presStyleIdx="3" presStyleCnt="7">
        <dgm:presLayoutVars>
          <dgm:chMax val="1"/>
          <dgm:bulletEnabled val="1"/>
        </dgm:presLayoutVars>
      </dgm:prSet>
      <dgm:spPr/>
    </dgm:pt>
    <dgm:pt modelId="{8F684998-D60B-4DED-B90D-F0B83F8BA26F}" type="pres">
      <dgm:prSet presAssocID="{DCC7B971-1EBB-4B09-A8BF-FA7803E46C48}" presName="levelTx" presStyleLbl="revTx" presStyleIdx="0" presStyleCnt="0">
        <dgm:presLayoutVars>
          <dgm:chMax val="1"/>
          <dgm:bulletEnabled val="1"/>
        </dgm:presLayoutVars>
      </dgm:prSet>
      <dgm:spPr/>
    </dgm:pt>
    <dgm:pt modelId="{227AED76-741E-4218-AF77-1E8FB718A9C6}" type="pres">
      <dgm:prSet presAssocID="{9A2C33E5-570B-4E7E-AA27-49AE71E5F5A2}" presName="Name8" presStyleCnt="0"/>
      <dgm:spPr/>
    </dgm:pt>
    <dgm:pt modelId="{0F153B45-0920-40D6-A206-B5D82849BFD0}" type="pres">
      <dgm:prSet presAssocID="{9A2C33E5-570B-4E7E-AA27-49AE71E5F5A2}" presName="level" presStyleLbl="node1" presStyleIdx="4" presStyleCnt="7">
        <dgm:presLayoutVars>
          <dgm:chMax val="1"/>
          <dgm:bulletEnabled val="1"/>
        </dgm:presLayoutVars>
      </dgm:prSet>
      <dgm:spPr/>
    </dgm:pt>
    <dgm:pt modelId="{7557EB53-BC12-4A2F-A1A6-9E6B2992987E}" type="pres">
      <dgm:prSet presAssocID="{9A2C33E5-570B-4E7E-AA27-49AE71E5F5A2}" presName="levelTx" presStyleLbl="revTx" presStyleIdx="0" presStyleCnt="0">
        <dgm:presLayoutVars>
          <dgm:chMax val="1"/>
          <dgm:bulletEnabled val="1"/>
        </dgm:presLayoutVars>
      </dgm:prSet>
      <dgm:spPr/>
    </dgm:pt>
    <dgm:pt modelId="{FAA5B609-F0D1-466D-9A73-E20C5ED84038}" type="pres">
      <dgm:prSet presAssocID="{BC873200-CF65-4132-847A-6556783713E1}" presName="Name8" presStyleCnt="0"/>
      <dgm:spPr/>
    </dgm:pt>
    <dgm:pt modelId="{653CBA07-D694-404E-A7D8-C4ADE385742B}" type="pres">
      <dgm:prSet presAssocID="{BC873200-CF65-4132-847A-6556783713E1}" presName="level" presStyleLbl="node1" presStyleIdx="5" presStyleCnt="7">
        <dgm:presLayoutVars>
          <dgm:chMax val="1"/>
          <dgm:bulletEnabled val="1"/>
        </dgm:presLayoutVars>
      </dgm:prSet>
      <dgm:spPr/>
    </dgm:pt>
    <dgm:pt modelId="{D354ED14-BA3C-4F21-AED5-F82F8928D951}" type="pres">
      <dgm:prSet presAssocID="{BC873200-CF65-4132-847A-6556783713E1}" presName="levelTx" presStyleLbl="revTx" presStyleIdx="0" presStyleCnt="0">
        <dgm:presLayoutVars>
          <dgm:chMax val="1"/>
          <dgm:bulletEnabled val="1"/>
        </dgm:presLayoutVars>
      </dgm:prSet>
      <dgm:spPr/>
    </dgm:pt>
    <dgm:pt modelId="{A985FFAF-4BC8-4AEC-BA27-4B10E008A757}" type="pres">
      <dgm:prSet presAssocID="{B7BEC8BF-6510-42E4-9C49-BCA0AE8256C8}" presName="Name8" presStyleCnt="0"/>
      <dgm:spPr/>
    </dgm:pt>
    <dgm:pt modelId="{D8663E9E-C00F-41A3-8E30-97BF2AB679AA}" type="pres">
      <dgm:prSet presAssocID="{B7BEC8BF-6510-42E4-9C49-BCA0AE8256C8}" presName="level" presStyleLbl="node1" presStyleIdx="6" presStyleCnt="7">
        <dgm:presLayoutVars>
          <dgm:chMax val="1"/>
          <dgm:bulletEnabled val="1"/>
        </dgm:presLayoutVars>
      </dgm:prSet>
      <dgm:spPr/>
    </dgm:pt>
    <dgm:pt modelId="{7DDFD829-BB56-44CD-A2AE-A7D5F9AD9E6B}" type="pres">
      <dgm:prSet presAssocID="{B7BEC8BF-6510-42E4-9C49-BCA0AE8256C8}" presName="levelTx" presStyleLbl="revTx" presStyleIdx="0" presStyleCnt="0">
        <dgm:presLayoutVars>
          <dgm:chMax val="1"/>
          <dgm:bulletEnabled val="1"/>
        </dgm:presLayoutVars>
      </dgm:prSet>
      <dgm:spPr/>
    </dgm:pt>
  </dgm:ptLst>
  <dgm:cxnLst>
    <dgm:cxn modelId="{B9D3C707-A9DB-4809-A0E1-038A086ABC43}" type="presOf" srcId="{B7BEC8BF-6510-42E4-9C49-BCA0AE8256C8}" destId="{7DDFD829-BB56-44CD-A2AE-A7D5F9AD9E6B}" srcOrd="1" destOrd="0" presId="urn:microsoft.com/office/officeart/2005/8/layout/pyramid1"/>
    <dgm:cxn modelId="{FDEFC311-1F44-44BC-B22A-BE11AC2C2A77}" type="presOf" srcId="{97B65B32-E146-49F2-AB1D-F886CB72A1D2}" destId="{987760A3-3C6E-4AA6-95C5-7DB810D0DFD5}" srcOrd="0" destOrd="0" presId="urn:microsoft.com/office/officeart/2005/8/layout/pyramid1"/>
    <dgm:cxn modelId="{B9CAC918-B1A5-41AE-9D4C-E01ADC1EE372}" srcId="{35265576-7F78-4654-91CD-B89E5CA80940}" destId="{B7BEC8BF-6510-42E4-9C49-BCA0AE8256C8}" srcOrd="6" destOrd="0" parTransId="{9E0CE532-B884-4DA0-B604-002932AB48B0}" sibTransId="{EBA8A92E-1E25-4147-82C9-F96B524614B1}"/>
    <dgm:cxn modelId="{0CCDF619-657A-4AB2-B9CF-6475E1DC939A}" type="presOf" srcId="{97B65B32-E146-49F2-AB1D-F886CB72A1D2}" destId="{38EFE0DD-C8AB-4FC0-92C6-2C0D489D78B1}" srcOrd="1" destOrd="0" presId="urn:microsoft.com/office/officeart/2005/8/layout/pyramid1"/>
    <dgm:cxn modelId="{B0519D1B-30E8-4AA2-BB9B-EE30FB43F935}" srcId="{35265576-7F78-4654-91CD-B89E5CA80940}" destId="{BC873200-CF65-4132-847A-6556783713E1}" srcOrd="5" destOrd="0" parTransId="{B99ABD77-2C19-4F0C-B676-B1E914A28BC0}" sibTransId="{BCD9DF33-4962-47D8-A6FB-4A4DDDA57C63}"/>
    <dgm:cxn modelId="{319AFE1B-6E85-4402-8E80-FDC4675FD3CC}" type="presOf" srcId="{BBD96CB2-DBEE-4D53-930D-C9D751A44032}" destId="{A60C7F62-1786-4D2F-986A-E7B3046250C0}" srcOrd="0" destOrd="0" presId="urn:microsoft.com/office/officeart/2005/8/layout/pyramid1"/>
    <dgm:cxn modelId="{2E43E12A-48F2-4EDC-84D1-DB7B311906F4}" type="presOf" srcId="{BC873200-CF65-4132-847A-6556783713E1}" destId="{D354ED14-BA3C-4F21-AED5-F82F8928D951}" srcOrd="1" destOrd="0" presId="urn:microsoft.com/office/officeart/2005/8/layout/pyramid1"/>
    <dgm:cxn modelId="{0EDC9F3B-1FF3-48FB-9F6F-8D04DBA22EDD}" srcId="{35265576-7F78-4654-91CD-B89E5CA80940}" destId="{9A2C33E5-570B-4E7E-AA27-49AE71E5F5A2}" srcOrd="4" destOrd="0" parTransId="{60445F3C-B4DB-41E9-ABD9-357136691587}" sibTransId="{5A0D5185-FDCF-418E-AEC8-A152BD8B1959}"/>
    <dgm:cxn modelId="{000ED15C-3798-4C46-8196-F88F7B626BDD}" type="presOf" srcId="{892FC546-D7ED-4F22-94A4-E5A00E330AF7}" destId="{EC33303F-F8B0-4E99-B30D-6580BEC219EE}" srcOrd="1" destOrd="0" presId="urn:microsoft.com/office/officeart/2005/8/layout/pyramid1"/>
    <dgm:cxn modelId="{775DF65E-4C92-46CB-B5F2-C438A6B7E702}" srcId="{35265576-7F78-4654-91CD-B89E5CA80940}" destId="{892FC546-D7ED-4F22-94A4-E5A00E330AF7}" srcOrd="0" destOrd="0" parTransId="{44C1DEEF-237D-41AF-956D-4CA96156F429}" sibTransId="{5511E1A9-CDEB-4376-AA5F-E78568912DED}"/>
    <dgm:cxn modelId="{4A6B7541-67FC-4A68-8EF1-2F2164F043BD}" type="presOf" srcId="{B7BEC8BF-6510-42E4-9C49-BCA0AE8256C8}" destId="{D8663E9E-C00F-41A3-8E30-97BF2AB679AA}" srcOrd="0" destOrd="0" presId="urn:microsoft.com/office/officeart/2005/8/layout/pyramid1"/>
    <dgm:cxn modelId="{4F73B763-52A4-473D-8B4E-3F13BB15BF12}" type="presOf" srcId="{BC873200-CF65-4132-847A-6556783713E1}" destId="{653CBA07-D694-404E-A7D8-C4ADE385742B}" srcOrd="0" destOrd="0" presId="urn:microsoft.com/office/officeart/2005/8/layout/pyramid1"/>
    <dgm:cxn modelId="{74CD098D-E6ED-4AE9-AC93-6243572C69BC}" srcId="{35265576-7F78-4654-91CD-B89E5CA80940}" destId="{97B65B32-E146-49F2-AB1D-F886CB72A1D2}" srcOrd="1" destOrd="0" parTransId="{76273BB3-6BC9-45DD-B7C3-CD90AC6C779C}" sibTransId="{588A28EC-36CC-4E8F-911F-75F41F154DAB}"/>
    <dgm:cxn modelId="{3A41148D-E04E-4C6C-AE86-9A4F51C44D60}" type="presOf" srcId="{35265576-7F78-4654-91CD-B89E5CA80940}" destId="{CA7261FC-8AB5-4564-8E1B-CD2F6BEC80E2}" srcOrd="0" destOrd="0" presId="urn:microsoft.com/office/officeart/2005/8/layout/pyramid1"/>
    <dgm:cxn modelId="{B53D658D-CA1A-461B-9FE0-0E6AE8E08BBD}" srcId="{35265576-7F78-4654-91CD-B89E5CA80940}" destId="{DCC7B971-1EBB-4B09-A8BF-FA7803E46C48}" srcOrd="3" destOrd="0" parTransId="{CDF2479F-E16F-4317-A95B-A2121EC5873F}" sibTransId="{67B01B63-415D-477D-8728-9BE6B2325FFB}"/>
    <dgm:cxn modelId="{E4DF0F92-8459-45EB-ADB1-196E016CEC05}" type="presOf" srcId="{DCC7B971-1EBB-4B09-A8BF-FA7803E46C48}" destId="{9CBE8D2A-FC0C-4F70-8E27-09860416155C}" srcOrd="0" destOrd="0" presId="urn:microsoft.com/office/officeart/2005/8/layout/pyramid1"/>
    <dgm:cxn modelId="{885D0797-B29E-47AE-A8D4-C54E16BAA785}" type="presOf" srcId="{9A2C33E5-570B-4E7E-AA27-49AE71E5F5A2}" destId="{0F153B45-0920-40D6-A206-B5D82849BFD0}" srcOrd="0" destOrd="0" presId="urn:microsoft.com/office/officeart/2005/8/layout/pyramid1"/>
    <dgm:cxn modelId="{D090EBB0-7BAF-4D52-B092-1DFE6AC27BCF}" type="presOf" srcId="{BBD96CB2-DBEE-4D53-930D-C9D751A44032}" destId="{B4D76D58-191E-4941-9AA7-4EA18EE65DF9}" srcOrd="1" destOrd="0" presId="urn:microsoft.com/office/officeart/2005/8/layout/pyramid1"/>
    <dgm:cxn modelId="{12BD3FBE-3E6E-4BFF-8860-7581FEF46986}" type="presOf" srcId="{892FC546-D7ED-4F22-94A4-E5A00E330AF7}" destId="{D6324781-AA7E-46EC-BE54-F2B85DBB490E}" srcOrd="0" destOrd="0" presId="urn:microsoft.com/office/officeart/2005/8/layout/pyramid1"/>
    <dgm:cxn modelId="{EDEA6FE5-8078-4B35-8503-32A91B519C2A}" type="presOf" srcId="{DCC7B971-1EBB-4B09-A8BF-FA7803E46C48}" destId="{8F684998-D60B-4DED-B90D-F0B83F8BA26F}" srcOrd="1" destOrd="0" presId="urn:microsoft.com/office/officeart/2005/8/layout/pyramid1"/>
    <dgm:cxn modelId="{DBA6F2F8-D3A1-4BB8-9088-2E53A1DCADFA}" srcId="{35265576-7F78-4654-91CD-B89E5CA80940}" destId="{BBD96CB2-DBEE-4D53-930D-C9D751A44032}" srcOrd="2" destOrd="0" parTransId="{29D15915-E76E-40AD-8B69-608796205309}" sibTransId="{0A4EB57A-9384-478C-BF8B-A0C85BA8D7DA}"/>
    <dgm:cxn modelId="{ECB250FE-8F64-4E0E-81D1-4B187377F7DF}" type="presOf" srcId="{9A2C33E5-570B-4E7E-AA27-49AE71E5F5A2}" destId="{7557EB53-BC12-4A2F-A1A6-9E6B2992987E}" srcOrd="1" destOrd="0" presId="urn:microsoft.com/office/officeart/2005/8/layout/pyramid1"/>
    <dgm:cxn modelId="{A06594B4-0836-4E27-ACCA-61189923F1AB}" type="presParOf" srcId="{CA7261FC-8AB5-4564-8E1B-CD2F6BEC80E2}" destId="{827376AD-C09D-402A-BBE8-CEC3EBE2CB74}" srcOrd="0" destOrd="0" presId="urn:microsoft.com/office/officeart/2005/8/layout/pyramid1"/>
    <dgm:cxn modelId="{CF89A261-F129-48F4-94A9-DCE0BFC61699}" type="presParOf" srcId="{827376AD-C09D-402A-BBE8-CEC3EBE2CB74}" destId="{D6324781-AA7E-46EC-BE54-F2B85DBB490E}" srcOrd="0" destOrd="0" presId="urn:microsoft.com/office/officeart/2005/8/layout/pyramid1"/>
    <dgm:cxn modelId="{0E4F6999-91D0-4F1E-9D46-F54169EA2788}" type="presParOf" srcId="{827376AD-C09D-402A-BBE8-CEC3EBE2CB74}" destId="{EC33303F-F8B0-4E99-B30D-6580BEC219EE}" srcOrd="1" destOrd="0" presId="urn:microsoft.com/office/officeart/2005/8/layout/pyramid1"/>
    <dgm:cxn modelId="{0006D0F7-CD51-4968-BBE6-E13A01475584}" type="presParOf" srcId="{CA7261FC-8AB5-4564-8E1B-CD2F6BEC80E2}" destId="{B334259F-BA32-4E35-8A7B-51E81793A38D}" srcOrd="1" destOrd="0" presId="urn:microsoft.com/office/officeart/2005/8/layout/pyramid1"/>
    <dgm:cxn modelId="{A2EDDF56-83FE-4CCE-A4E4-C91DC8012E04}" type="presParOf" srcId="{B334259F-BA32-4E35-8A7B-51E81793A38D}" destId="{987760A3-3C6E-4AA6-95C5-7DB810D0DFD5}" srcOrd="0" destOrd="0" presId="urn:microsoft.com/office/officeart/2005/8/layout/pyramid1"/>
    <dgm:cxn modelId="{2A43F2D5-8DA7-44C5-BAB1-5F499F26CD54}" type="presParOf" srcId="{B334259F-BA32-4E35-8A7B-51E81793A38D}" destId="{38EFE0DD-C8AB-4FC0-92C6-2C0D489D78B1}" srcOrd="1" destOrd="0" presId="urn:microsoft.com/office/officeart/2005/8/layout/pyramid1"/>
    <dgm:cxn modelId="{B0F1674D-5CD8-497A-940E-52402F86AB7D}" type="presParOf" srcId="{CA7261FC-8AB5-4564-8E1B-CD2F6BEC80E2}" destId="{2FDD75EC-0BB2-408C-BB59-F433DB6E3B25}" srcOrd="2" destOrd="0" presId="urn:microsoft.com/office/officeart/2005/8/layout/pyramid1"/>
    <dgm:cxn modelId="{E2C281CF-8A2C-41BB-AC8B-8DD9BA5CD56D}" type="presParOf" srcId="{2FDD75EC-0BB2-408C-BB59-F433DB6E3B25}" destId="{A60C7F62-1786-4D2F-986A-E7B3046250C0}" srcOrd="0" destOrd="0" presId="urn:microsoft.com/office/officeart/2005/8/layout/pyramid1"/>
    <dgm:cxn modelId="{151F3203-C836-42EE-B79A-28B82CF5722D}" type="presParOf" srcId="{2FDD75EC-0BB2-408C-BB59-F433DB6E3B25}" destId="{B4D76D58-191E-4941-9AA7-4EA18EE65DF9}" srcOrd="1" destOrd="0" presId="urn:microsoft.com/office/officeart/2005/8/layout/pyramid1"/>
    <dgm:cxn modelId="{D674D856-AB6A-4CBE-B9CA-2A4DC2D611C4}" type="presParOf" srcId="{CA7261FC-8AB5-4564-8E1B-CD2F6BEC80E2}" destId="{B337AEE3-F462-4AE2-9BBB-83776922B582}" srcOrd="3" destOrd="0" presId="urn:microsoft.com/office/officeart/2005/8/layout/pyramid1"/>
    <dgm:cxn modelId="{CC958734-D082-474B-8033-FE906671C02E}" type="presParOf" srcId="{B337AEE3-F462-4AE2-9BBB-83776922B582}" destId="{9CBE8D2A-FC0C-4F70-8E27-09860416155C}" srcOrd="0" destOrd="0" presId="urn:microsoft.com/office/officeart/2005/8/layout/pyramid1"/>
    <dgm:cxn modelId="{1EB1A36D-4DF9-44FD-825C-930E9D0D669C}" type="presParOf" srcId="{B337AEE3-F462-4AE2-9BBB-83776922B582}" destId="{8F684998-D60B-4DED-B90D-F0B83F8BA26F}" srcOrd="1" destOrd="0" presId="urn:microsoft.com/office/officeart/2005/8/layout/pyramid1"/>
    <dgm:cxn modelId="{8AC28144-B5D2-4E37-8075-BD1BB69B953C}" type="presParOf" srcId="{CA7261FC-8AB5-4564-8E1B-CD2F6BEC80E2}" destId="{227AED76-741E-4218-AF77-1E8FB718A9C6}" srcOrd="4" destOrd="0" presId="urn:microsoft.com/office/officeart/2005/8/layout/pyramid1"/>
    <dgm:cxn modelId="{35B82879-2D27-421B-828A-7ACC7F3E4636}" type="presParOf" srcId="{227AED76-741E-4218-AF77-1E8FB718A9C6}" destId="{0F153B45-0920-40D6-A206-B5D82849BFD0}" srcOrd="0" destOrd="0" presId="urn:microsoft.com/office/officeart/2005/8/layout/pyramid1"/>
    <dgm:cxn modelId="{894413EA-AC58-46B6-B0A4-38EE631B34B6}" type="presParOf" srcId="{227AED76-741E-4218-AF77-1E8FB718A9C6}" destId="{7557EB53-BC12-4A2F-A1A6-9E6B2992987E}" srcOrd="1" destOrd="0" presId="urn:microsoft.com/office/officeart/2005/8/layout/pyramid1"/>
    <dgm:cxn modelId="{F79AC394-B2B3-47FE-99C8-79F6784633C5}" type="presParOf" srcId="{CA7261FC-8AB5-4564-8E1B-CD2F6BEC80E2}" destId="{FAA5B609-F0D1-466D-9A73-E20C5ED84038}" srcOrd="5" destOrd="0" presId="urn:microsoft.com/office/officeart/2005/8/layout/pyramid1"/>
    <dgm:cxn modelId="{B6885027-9F09-405A-9A78-C81DC26F37BF}" type="presParOf" srcId="{FAA5B609-F0D1-466D-9A73-E20C5ED84038}" destId="{653CBA07-D694-404E-A7D8-C4ADE385742B}" srcOrd="0" destOrd="0" presId="urn:microsoft.com/office/officeart/2005/8/layout/pyramid1"/>
    <dgm:cxn modelId="{00630074-279F-4C93-922F-E64564AC5681}" type="presParOf" srcId="{FAA5B609-F0D1-466D-9A73-E20C5ED84038}" destId="{D354ED14-BA3C-4F21-AED5-F82F8928D951}" srcOrd="1" destOrd="0" presId="urn:microsoft.com/office/officeart/2005/8/layout/pyramid1"/>
    <dgm:cxn modelId="{EF5FFF6B-65BE-47E0-8EC9-471141D7F00D}" type="presParOf" srcId="{CA7261FC-8AB5-4564-8E1B-CD2F6BEC80E2}" destId="{A985FFAF-4BC8-4AEC-BA27-4B10E008A757}" srcOrd="6" destOrd="0" presId="urn:microsoft.com/office/officeart/2005/8/layout/pyramid1"/>
    <dgm:cxn modelId="{E6F8C40C-0FC9-4BB9-8EBC-4F8E6C911F66}" type="presParOf" srcId="{A985FFAF-4BC8-4AEC-BA27-4B10E008A757}" destId="{D8663E9E-C00F-41A3-8E30-97BF2AB679AA}" srcOrd="0" destOrd="0" presId="urn:microsoft.com/office/officeart/2005/8/layout/pyramid1"/>
    <dgm:cxn modelId="{6423033E-C0EA-42C7-BCDF-B0265FD723A3}" type="presParOf" srcId="{A985FFAF-4BC8-4AEC-BA27-4B10E008A757}" destId="{7DDFD829-BB56-44CD-A2AE-A7D5F9AD9E6B}" srcOrd="1" destOrd="0" presId="urn:microsoft.com/office/officeart/2005/8/layout/pyramid1"/>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324781-AA7E-46EC-BE54-F2B85DBB490E}">
      <dsp:nvSpPr>
        <dsp:cNvPr id="0" name=""/>
        <dsp:cNvSpPr/>
      </dsp:nvSpPr>
      <dsp:spPr>
        <a:xfrm>
          <a:off x="1493361" y="0"/>
          <a:ext cx="861555" cy="649185"/>
        </a:xfrm>
        <a:prstGeom prst="trapezoid">
          <a:avLst>
            <a:gd name="adj" fmla="val 66357"/>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b" anchorCtr="0">
          <a:noAutofit/>
        </a:bodyPr>
        <a:lstStyle/>
        <a:p>
          <a:pPr marL="0" lvl="0" indent="0" algn="ctr" defTabSz="355600">
            <a:lnSpc>
              <a:spcPct val="90000"/>
            </a:lnSpc>
            <a:spcBef>
              <a:spcPct val="0"/>
            </a:spcBef>
            <a:spcAft>
              <a:spcPct val="35000"/>
            </a:spcAft>
            <a:buNone/>
          </a:pPr>
          <a:r>
            <a:rPr lang="en-AU" sz="800" b="1" kern="1200"/>
            <a:t>Prosecution</a:t>
          </a:r>
        </a:p>
        <a:p>
          <a:pPr marL="0" lvl="0" indent="0" algn="ctr" defTabSz="355600">
            <a:lnSpc>
              <a:spcPct val="90000"/>
            </a:lnSpc>
            <a:spcBef>
              <a:spcPct val="0"/>
            </a:spcBef>
            <a:spcAft>
              <a:spcPct val="35000"/>
            </a:spcAft>
            <a:buNone/>
          </a:pPr>
          <a:r>
            <a:rPr lang="en-AU" sz="800" b="1" kern="1200"/>
            <a:t>/Civil penality</a:t>
          </a:r>
        </a:p>
      </dsp:txBody>
      <dsp:txXfrm>
        <a:off x="1493361" y="0"/>
        <a:ext cx="861555" cy="649185"/>
      </dsp:txXfrm>
    </dsp:sp>
    <dsp:sp modelId="{987760A3-3C6E-4AA6-95C5-7DB810D0DFD5}">
      <dsp:nvSpPr>
        <dsp:cNvPr id="0" name=""/>
        <dsp:cNvSpPr/>
      </dsp:nvSpPr>
      <dsp:spPr>
        <a:xfrm>
          <a:off x="1244467" y="649185"/>
          <a:ext cx="1359342" cy="375084"/>
        </a:xfrm>
        <a:prstGeom prst="trapezoid">
          <a:avLst>
            <a:gd name="adj" fmla="val 66357"/>
          </a:avLst>
        </a:prstGeom>
        <a:solidFill>
          <a:srgbClr val="FF99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AU" sz="800" b="1" kern="1200"/>
            <a:t>Licence and/or Permit Revocation</a:t>
          </a:r>
        </a:p>
      </dsp:txBody>
      <dsp:txXfrm>
        <a:off x="1482352" y="649185"/>
        <a:ext cx="883572" cy="375084"/>
      </dsp:txXfrm>
    </dsp:sp>
    <dsp:sp modelId="{A60C7F62-1786-4D2F-986A-E7B3046250C0}">
      <dsp:nvSpPr>
        <dsp:cNvPr id="0" name=""/>
        <dsp:cNvSpPr/>
      </dsp:nvSpPr>
      <dsp:spPr>
        <a:xfrm>
          <a:off x="995574" y="1024270"/>
          <a:ext cx="1857129" cy="375084"/>
        </a:xfrm>
        <a:prstGeom prst="trapezoid">
          <a:avLst>
            <a:gd name="adj" fmla="val 66357"/>
          </a:avLst>
        </a:prstGeom>
        <a:solidFill>
          <a:srgbClr val="FFD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AU" sz="800" b="1" kern="1200"/>
            <a:t>Licence and/or Permit suspension</a:t>
          </a:r>
        </a:p>
      </dsp:txBody>
      <dsp:txXfrm>
        <a:off x="1320571" y="1024270"/>
        <a:ext cx="1207134" cy="375084"/>
      </dsp:txXfrm>
    </dsp:sp>
    <dsp:sp modelId="{9CBE8D2A-FC0C-4F70-8E27-09860416155C}">
      <dsp:nvSpPr>
        <dsp:cNvPr id="0" name=""/>
        <dsp:cNvSpPr/>
      </dsp:nvSpPr>
      <dsp:spPr>
        <a:xfrm>
          <a:off x="746680" y="1399355"/>
          <a:ext cx="2354916" cy="375084"/>
        </a:xfrm>
        <a:prstGeom prst="trapezoid">
          <a:avLst>
            <a:gd name="adj" fmla="val 66357"/>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AU" sz="800" b="1" kern="1200"/>
            <a:t>Coercive and enforcement regulatory powers</a:t>
          </a:r>
        </a:p>
      </dsp:txBody>
      <dsp:txXfrm>
        <a:off x="1158791" y="1399355"/>
        <a:ext cx="1530695" cy="375084"/>
      </dsp:txXfrm>
    </dsp:sp>
    <dsp:sp modelId="{0F153B45-0920-40D6-A206-B5D82849BFD0}">
      <dsp:nvSpPr>
        <dsp:cNvPr id="0" name=""/>
        <dsp:cNvSpPr/>
      </dsp:nvSpPr>
      <dsp:spPr>
        <a:xfrm>
          <a:off x="497787" y="1774440"/>
          <a:ext cx="2852703" cy="375084"/>
        </a:xfrm>
        <a:prstGeom prst="trapezoid">
          <a:avLst>
            <a:gd name="adj" fmla="val 66357"/>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AU" sz="800" b="1" kern="1200"/>
            <a:t>Secretary direction</a:t>
          </a:r>
        </a:p>
      </dsp:txBody>
      <dsp:txXfrm>
        <a:off x="997010" y="1774440"/>
        <a:ext cx="1854257" cy="375084"/>
      </dsp:txXfrm>
    </dsp:sp>
    <dsp:sp modelId="{653CBA07-D694-404E-A7D8-C4ADE385742B}">
      <dsp:nvSpPr>
        <dsp:cNvPr id="0" name=""/>
        <dsp:cNvSpPr/>
      </dsp:nvSpPr>
      <dsp:spPr>
        <a:xfrm>
          <a:off x="248893" y="2149525"/>
          <a:ext cx="3350490" cy="375084"/>
        </a:xfrm>
        <a:prstGeom prst="trapezoid">
          <a:avLst>
            <a:gd name="adj" fmla="val 66357"/>
          </a:avLst>
        </a:prstGeom>
        <a:solidFill>
          <a:srgbClr val="04BB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AU" sz="800" b="1" kern="1200"/>
            <a:t>Administrative activity</a:t>
          </a:r>
        </a:p>
      </dsp:txBody>
      <dsp:txXfrm>
        <a:off x="835229" y="2149525"/>
        <a:ext cx="2177819" cy="375084"/>
      </dsp:txXfrm>
    </dsp:sp>
    <dsp:sp modelId="{D8663E9E-C00F-41A3-8E30-97BF2AB679AA}">
      <dsp:nvSpPr>
        <dsp:cNvPr id="0" name=""/>
        <dsp:cNvSpPr/>
      </dsp:nvSpPr>
      <dsp:spPr>
        <a:xfrm>
          <a:off x="0" y="2524610"/>
          <a:ext cx="3848278" cy="375084"/>
        </a:xfrm>
        <a:prstGeom prst="trapezoid">
          <a:avLst>
            <a:gd name="adj" fmla="val 66357"/>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AU" sz="800" b="1" kern="1200"/>
            <a:t>Education</a:t>
          </a:r>
        </a:p>
      </dsp:txBody>
      <dsp:txXfrm>
        <a:off x="673448" y="2524610"/>
        <a:ext cx="2501380" cy="37508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10T22:47:40.101"/>
    </inkml:context>
    <inkml:brush xml:id="br0">
      <inkml:brushProperty name="width" value="0.05" units="cm"/>
      <inkml:brushProperty name="height" value="0.05" units="cm"/>
    </inkml:brush>
  </inkml:definitions>
  <inkml:trace contextRef="#ctx0" brushRef="#br0">20 1 919 0 0,'0'0'3048'0'0,"-7"10"-2752"0"0,0-1-432 0 0,2 0-48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D567-E301-405E-B909-C5C5264B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3717</Words>
  <Characters>22439</Characters>
  <Application>Microsoft Office Word</Application>
  <DocSecurity>0</DocSecurity>
  <Lines>430</Lines>
  <Paragraphs>223</Paragraphs>
  <ScaleCrop>false</ScaleCrop>
  <HeadingPairs>
    <vt:vector size="2" baseType="variant">
      <vt:variant>
        <vt:lpstr>Title</vt:lpstr>
      </vt:variant>
      <vt:variant>
        <vt:i4>1</vt:i4>
      </vt:variant>
    </vt:vector>
  </HeadingPairs>
  <TitlesOfParts>
    <vt:vector size="1" baseType="lpstr">
      <vt:lpstr>Compliance &amp; Enforcement Framework </vt:lpstr>
    </vt:vector>
  </TitlesOfParts>
  <Company>Department of Health, Disability and Ageing</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&amp; Enforcement Framework </dc:title>
  <dc:subject>compliance</dc:subject>
  <dc:creator>Office of Drug Control</dc:creator>
  <cp:keywords/>
  <dc:description/>
  <cp:lastModifiedBy>LACK, Janet</cp:lastModifiedBy>
  <cp:revision>4</cp:revision>
  <dcterms:created xsi:type="dcterms:W3CDTF">2026-01-04T21:03:00Z</dcterms:created>
  <dcterms:modified xsi:type="dcterms:W3CDTF">2026-01-04T21:22:00Z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62a0fd8d,12c7b9c9,9049ceb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722ae17a,3d81a379,c47108e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2025-10-01T22:08:15Z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01acb16a-da81-4ed0-9a08-54a17812bd94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