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75AC6E" w14:textId="35FD27E0" w:rsidR="00D37A37" w:rsidRPr="00F57987" w:rsidRDefault="00D37A37" w:rsidP="00D37A37">
      <w:pPr>
        <w:pStyle w:val="Title"/>
        <w:rPr>
          <w:rFonts w:cs="Arial"/>
          <w:sz w:val="44"/>
          <w:szCs w:val="48"/>
        </w:rPr>
      </w:pPr>
      <w:r w:rsidRPr="00F57987">
        <w:rPr>
          <w:rFonts w:cs="Arial"/>
          <w:sz w:val="44"/>
          <w:szCs w:val="48"/>
        </w:rPr>
        <w:t xml:space="preserve">Office of Drug Control </w:t>
      </w:r>
    </w:p>
    <w:p w14:paraId="1F64E73B" w14:textId="1CE87413" w:rsidR="00D37A37" w:rsidRPr="00F57987" w:rsidRDefault="00D37A37" w:rsidP="00D37A37">
      <w:pPr>
        <w:pStyle w:val="Subtitle"/>
        <w:rPr>
          <w:rFonts w:cs="Arial"/>
        </w:rPr>
      </w:pPr>
      <w:r w:rsidRPr="00F57987">
        <w:rPr>
          <w:rFonts w:cs="Arial"/>
        </w:rPr>
        <w:t xml:space="preserve">Compliance </w:t>
      </w:r>
      <w:r w:rsidR="008C1E54">
        <w:rPr>
          <w:rFonts w:cs="Arial"/>
        </w:rPr>
        <w:t>and</w:t>
      </w:r>
      <w:r w:rsidRPr="00F57987">
        <w:rPr>
          <w:rFonts w:cs="Arial"/>
        </w:rPr>
        <w:t xml:space="preserve"> Enforcement Framework </w:t>
      </w:r>
    </w:p>
    <w:p w14:paraId="7D079227" w14:textId="3CC2B438" w:rsidR="00D37A37" w:rsidRPr="00F57987" w:rsidRDefault="00D37A37" w:rsidP="00D37A37">
      <w:pPr>
        <w:pStyle w:val="Subtitle"/>
        <w:rPr>
          <w:rFonts w:cs="Arial"/>
        </w:rPr>
      </w:pPr>
      <w:r w:rsidRPr="00F57987">
        <w:rPr>
          <w:rFonts w:cs="Arial"/>
        </w:rPr>
        <w:t>202</w:t>
      </w:r>
      <w:r w:rsidR="0054294F">
        <w:rPr>
          <w:rFonts w:cs="Arial"/>
        </w:rPr>
        <w:t>3</w:t>
      </w:r>
      <w:r w:rsidRPr="00F57987">
        <w:rPr>
          <w:rFonts w:cs="Arial"/>
        </w:rPr>
        <w:t xml:space="preserve"> - 202</w:t>
      </w:r>
      <w:r w:rsidR="0054294F">
        <w:rPr>
          <w:rFonts w:cs="Arial"/>
        </w:rPr>
        <w:t>5</w:t>
      </w:r>
    </w:p>
    <w:p w14:paraId="267EEC90" w14:textId="411B2EC2" w:rsidR="00D37A37" w:rsidRPr="00F57987" w:rsidRDefault="00D37A37" w:rsidP="00D37A37">
      <w:pPr>
        <w:pStyle w:val="Date"/>
        <w:rPr>
          <w:rFonts w:ascii="Arial" w:hAnsi="Arial" w:cs="Arial"/>
        </w:rPr>
      </w:pPr>
      <w:r w:rsidRPr="00F57987">
        <w:rPr>
          <w:rFonts w:ascii="Arial" w:hAnsi="Arial" w:cs="Arial"/>
        </w:rPr>
        <w:t xml:space="preserve">Version 1.0, </w:t>
      </w:r>
      <w:r w:rsidR="00781EAF">
        <w:rPr>
          <w:rFonts w:ascii="Arial" w:hAnsi="Arial" w:cs="Arial"/>
        </w:rPr>
        <w:t xml:space="preserve">March </w:t>
      </w:r>
      <w:r w:rsidR="0054294F">
        <w:rPr>
          <w:rFonts w:ascii="Arial" w:hAnsi="Arial" w:cs="Arial"/>
        </w:rPr>
        <w:t>2023</w:t>
      </w:r>
    </w:p>
    <w:p w14:paraId="0425EE06" w14:textId="77777777" w:rsidR="00D37A37" w:rsidRPr="00F57987" w:rsidRDefault="00D37A37">
      <w:pPr>
        <w:rPr>
          <w:rFonts w:ascii="Arial" w:hAnsi="Arial" w:cs="Arial"/>
        </w:rPr>
      </w:pPr>
    </w:p>
    <w:p w14:paraId="576BFBFB" w14:textId="290A38C5" w:rsidR="00D37A37" w:rsidRPr="00F57987" w:rsidRDefault="00D37A37">
      <w:pPr>
        <w:rPr>
          <w:rFonts w:ascii="Arial" w:hAnsi="Arial" w:cs="Arial"/>
        </w:rPr>
      </w:pPr>
      <w:r w:rsidRPr="00F57987">
        <w:rPr>
          <w:rFonts w:ascii="Arial" w:hAnsi="Arial" w:cs="Arial"/>
          <w:noProof/>
        </w:rPr>
        <w:drawing>
          <wp:inline distT="0" distB="0" distL="0" distR="0" wp14:anchorId="4FD1B25A" wp14:editId="0D8C3852">
            <wp:extent cx="5731510" cy="4105275"/>
            <wp:effectExtent l="0" t="0" r="2540" b="9525"/>
            <wp:docPr id="1" name="Picture 1"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1510" cy="4105275"/>
                    </a:xfrm>
                    <a:prstGeom prst="rect">
                      <a:avLst/>
                    </a:prstGeom>
                    <a:noFill/>
                    <a:ln>
                      <a:noFill/>
                    </a:ln>
                  </pic:spPr>
                </pic:pic>
              </a:graphicData>
            </a:graphic>
          </wp:inline>
        </w:drawing>
      </w:r>
    </w:p>
    <w:p w14:paraId="669EF8EE" w14:textId="3852B163" w:rsidR="00D37A37" w:rsidRPr="00F57987" w:rsidRDefault="00D37A37">
      <w:pPr>
        <w:rPr>
          <w:rFonts w:ascii="Arial" w:hAnsi="Arial" w:cs="Arial"/>
        </w:rPr>
      </w:pPr>
      <w:r w:rsidRPr="00F57987">
        <w:rPr>
          <w:rFonts w:ascii="Arial" w:hAnsi="Arial" w:cs="Arial"/>
        </w:rPr>
        <w:br w:type="page"/>
      </w:r>
    </w:p>
    <w:p w14:paraId="621F3E47" w14:textId="597AE2DD" w:rsidR="00D37A37" w:rsidRDefault="00D37A37" w:rsidP="00D37A37">
      <w:pPr>
        <w:pStyle w:val="LegalSubheading"/>
        <w:rPr>
          <w:rFonts w:ascii="Arial" w:hAnsi="Arial" w:cs="Arial"/>
          <w:b/>
          <w:bCs/>
        </w:rPr>
      </w:pPr>
      <w:r w:rsidRPr="00021498">
        <w:rPr>
          <w:rFonts w:ascii="Arial" w:hAnsi="Arial" w:cs="Arial"/>
          <w:b/>
          <w:bCs/>
        </w:rPr>
        <w:lastRenderedPageBreak/>
        <w:t>Ownership of intellectual property rights</w:t>
      </w:r>
    </w:p>
    <w:p w14:paraId="5A5E2501" w14:textId="77777777" w:rsidR="00021498" w:rsidRPr="00021498" w:rsidRDefault="00021498" w:rsidP="00021498"/>
    <w:p w14:paraId="7042A471" w14:textId="17C138D8" w:rsidR="00021498" w:rsidRDefault="00D37A37" w:rsidP="00D37A37">
      <w:pPr>
        <w:rPr>
          <w:rFonts w:ascii="Arial" w:hAnsi="Arial" w:cs="Arial"/>
          <w:color w:val="58595B"/>
          <w:sz w:val="21"/>
          <w:szCs w:val="21"/>
        </w:rPr>
      </w:pPr>
      <w:r w:rsidRPr="00F57987">
        <w:rPr>
          <w:rFonts w:ascii="Arial" w:hAnsi="Arial" w:cs="Arial"/>
          <w:color w:val="58595B"/>
          <w:sz w:val="21"/>
          <w:szCs w:val="21"/>
        </w:rPr>
        <w:t>© Commonwealth of Australia 202</w:t>
      </w:r>
      <w:r w:rsidR="009B39C2">
        <w:rPr>
          <w:rFonts w:ascii="Arial" w:hAnsi="Arial" w:cs="Arial"/>
          <w:color w:val="58595B"/>
          <w:sz w:val="21"/>
          <w:szCs w:val="21"/>
        </w:rPr>
        <w:t>3</w:t>
      </w:r>
    </w:p>
    <w:p w14:paraId="5D3498B8" w14:textId="5AB76819" w:rsidR="00D37A37" w:rsidRPr="00F57987" w:rsidRDefault="00D37A37" w:rsidP="00D37A37">
      <w:pPr>
        <w:rPr>
          <w:rFonts w:ascii="Arial" w:hAnsi="Arial" w:cs="Arial"/>
          <w:color w:val="58595B"/>
          <w:sz w:val="21"/>
          <w:szCs w:val="21"/>
        </w:rPr>
      </w:pPr>
      <w:r w:rsidRPr="00F57987">
        <w:rPr>
          <w:rFonts w:ascii="Arial" w:hAnsi="Arial" w:cs="Arial"/>
          <w:color w:val="58595B"/>
          <w:sz w:val="21"/>
          <w:szCs w:val="21"/>
        </w:rPr>
        <w:br/>
        <w:t>This work is copyright. You may download, display, print and reproduce the whole or part of this work in unaltered form for your own personal use or, if you are part of an organisation, for internal use within your organisation, but only if you or your organisation do not use the reproduction for any commercial purpose and retain this copyright notice and all disclaimer notices as part of that reproduction. Apart from rights to use as permitted under the </w:t>
      </w:r>
      <w:r w:rsidRPr="00F57987">
        <w:rPr>
          <w:rStyle w:val="pubtitle"/>
          <w:rFonts w:ascii="Arial" w:hAnsi="Arial" w:cs="Arial"/>
          <w:i/>
          <w:iCs/>
          <w:color w:val="58595B"/>
          <w:sz w:val="21"/>
          <w:szCs w:val="21"/>
        </w:rPr>
        <w:t>Copyright Act 1968</w:t>
      </w:r>
      <w:r w:rsidRPr="00F57987">
        <w:rPr>
          <w:rFonts w:ascii="Arial" w:hAnsi="Arial" w:cs="Arial"/>
          <w:color w:val="58595B"/>
          <w:sz w:val="21"/>
          <w:szCs w:val="21"/>
        </w:rPr>
        <w:t xml:space="preserve"> or allowed by this copyright notice, all other rights are </w:t>
      </w:r>
      <w:r w:rsidR="008B03D2" w:rsidRPr="00F57987">
        <w:rPr>
          <w:rFonts w:ascii="Arial" w:hAnsi="Arial" w:cs="Arial"/>
          <w:color w:val="58595B"/>
          <w:sz w:val="21"/>
          <w:szCs w:val="21"/>
        </w:rPr>
        <w:t>reserved,</w:t>
      </w:r>
      <w:r w:rsidRPr="00F57987">
        <w:rPr>
          <w:rFonts w:ascii="Arial" w:hAnsi="Arial" w:cs="Arial"/>
          <w:color w:val="58595B"/>
          <w:sz w:val="21"/>
          <w:szCs w:val="21"/>
        </w:rPr>
        <w:t xml:space="preserve"> and you are not allowed to reproduce the whole or any part of this work in any way (electronic or otherwise) without first being given specific written permission from the Commonwealth to do so. Requests and inquiries concerning reproduction and rights are to be sent to the </w:t>
      </w:r>
    </w:p>
    <w:p w14:paraId="63A51A7C" w14:textId="4EF64961" w:rsidR="00D37A37" w:rsidRPr="00F57987" w:rsidRDefault="00D37A37" w:rsidP="00D37A37">
      <w:pPr>
        <w:rPr>
          <w:rFonts w:ascii="Arial" w:hAnsi="Arial" w:cs="Arial"/>
          <w:color w:val="58595B"/>
          <w:sz w:val="21"/>
          <w:szCs w:val="21"/>
        </w:rPr>
      </w:pPr>
      <w:r w:rsidRPr="00F57987">
        <w:rPr>
          <w:rFonts w:ascii="Arial" w:hAnsi="Arial" w:cs="Arial"/>
          <w:color w:val="58595B"/>
          <w:sz w:val="21"/>
          <w:szCs w:val="21"/>
        </w:rPr>
        <w:t xml:space="preserve">ODC Copyright Officer, Office of Drug Control, PO Box 100, Woden ACT 2606 or emailed to </w:t>
      </w:r>
      <w:hyperlink r:id="rId9" w:history="1">
        <w:r w:rsidRPr="00F57987">
          <w:rPr>
            <w:rStyle w:val="Hyperlink"/>
            <w:rFonts w:ascii="Arial" w:hAnsi="Arial" w:cs="Arial"/>
            <w:sz w:val="21"/>
            <w:szCs w:val="21"/>
          </w:rPr>
          <w:t>ODC.compliance@health.gov.au</w:t>
        </w:r>
      </w:hyperlink>
    </w:p>
    <w:p w14:paraId="27D529B9" w14:textId="102F6C82" w:rsidR="00D37A37" w:rsidRPr="00F57987" w:rsidRDefault="00D37A37" w:rsidP="00D37A37">
      <w:pPr>
        <w:rPr>
          <w:rFonts w:ascii="Arial" w:hAnsi="Arial" w:cs="Arial"/>
          <w:color w:val="58595B"/>
          <w:sz w:val="21"/>
          <w:szCs w:val="21"/>
        </w:rPr>
      </w:pPr>
      <w:r w:rsidRPr="00F57987">
        <w:rPr>
          <w:rFonts w:ascii="Arial" w:hAnsi="Arial" w:cs="Arial"/>
          <w:color w:val="58595B"/>
          <w:sz w:val="21"/>
          <w:szCs w:val="21"/>
        </w:rPr>
        <w:t xml:space="preserve">The Australian Government acting through the Office of Drug Control in the Department of Health </w:t>
      </w:r>
      <w:r w:rsidR="00F57987">
        <w:rPr>
          <w:rFonts w:ascii="Arial" w:hAnsi="Arial" w:cs="Arial"/>
          <w:color w:val="58595B"/>
          <w:sz w:val="21"/>
          <w:szCs w:val="21"/>
        </w:rPr>
        <w:t xml:space="preserve">and </w:t>
      </w:r>
      <w:r w:rsidR="00A64B2C">
        <w:rPr>
          <w:rFonts w:ascii="Arial" w:hAnsi="Arial" w:cs="Arial"/>
          <w:color w:val="58595B"/>
          <w:sz w:val="21"/>
          <w:szCs w:val="21"/>
        </w:rPr>
        <w:t xml:space="preserve">Aged Care </w:t>
      </w:r>
      <w:r w:rsidRPr="00F57987">
        <w:rPr>
          <w:rFonts w:ascii="Arial" w:hAnsi="Arial" w:cs="Arial"/>
          <w:color w:val="58595B"/>
          <w:sz w:val="21"/>
          <w:szCs w:val="21"/>
        </w:rPr>
        <w:t>has exercised due care and skill in the preparation and compilation of the information and data in this publication. Notwithstanding, the department, its employees and advisers disclaim all liability, including liability for negligence, for any loss, damage, injury, expense or cost incurred by any person as a result of accessing, using or relying upon any of the information or data in this publication to the maximum extent permitted by law.</w:t>
      </w:r>
    </w:p>
    <w:p w14:paraId="37AE6B9C" w14:textId="77777777" w:rsidR="00D37A37" w:rsidRPr="00F57987" w:rsidRDefault="00D37A37" w:rsidP="00D37A37">
      <w:pPr>
        <w:pStyle w:val="LegalSubheading"/>
        <w:rPr>
          <w:rFonts w:ascii="Arial" w:hAnsi="Arial" w:cs="Arial"/>
        </w:rPr>
      </w:pPr>
    </w:p>
    <w:p w14:paraId="39630B80" w14:textId="77777777" w:rsidR="00D37A37" w:rsidRPr="00F57987" w:rsidRDefault="00D37A37" w:rsidP="00D37A37">
      <w:pPr>
        <w:pStyle w:val="LegalSubheading"/>
        <w:rPr>
          <w:rFonts w:ascii="Arial" w:eastAsia="Times New Roman" w:hAnsi="Arial" w:cs="Arial"/>
          <w:b/>
          <w:bCs/>
          <w:color w:val="58595B"/>
          <w:sz w:val="21"/>
          <w:szCs w:val="21"/>
          <w:lang w:eastAsia="en-AU"/>
        </w:rPr>
      </w:pPr>
      <w:r w:rsidRPr="00F57987">
        <w:rPr>
          <w:rFonts w:ascii="Arial" w:eastAsia="Times New Roman" w:hAnsi="Arial" w:cs="Arial"/>
          <w:b/>
          <w:bCs/>
          <w:color w:val="58595B"/>
          <w:sz w:val="21"/>
          <w:szCs w:val="21"/>
          <w:lang w:eastAsia="en-AU"/>
        </w:rPr>
        <w:t>Version control</w:t>
      </w:r>
    </w:p>
    <w:p w14:paraId="27BD0073" w14:textId="77777777" w:rsidR="00D37A37" w:rsidRPr="00F57987" w:rsidRDefault="00D37A37" w:rsidP="00D37A37">
      <w:pPr>
        <w:rPr>
          <w:rFonts w:ascii="Arial" w:hAnsi="Arial" w:cs="Arial"/>
          <w:color w:val="58595B"/>
          <w:sz w:val="21"/>
          <w:szCs w:val="21"/>
        </w:rPr>
      </w:pPr>
      <w:r w:rsidRPr="00F57987">
        <w:rPr>
          <w:rFonts w:ascii="Arial" w:hAnsi="Arial" w:cs="Arial"/>
          <w:color w:val="58595B"/>
          <w:sz w:val="21"/>
          <w:szCs w:val="21"/>
        </w:rPr>
        <w:t>Updates to this document will occur automatically on the Office of Drug Control website and the revision table below will list the amendments as they are approved.</w:t>
      </w:r>
    </w:p>
    <w:tbl>
      <w:tblPr>
        <w:tblStyle w:val="TableODC"/>
        <w:tblW w:w="9072" w:type="dxa"/>
        <w:tblLook w:val="0020" w:firstRow="1" w:lastRow="0" w:firstColumn="0" w:lastColumn="0" w:noHBand="0" w:noVBand="0"/>
      </w:tblPr>
      <w:tblGrid>
        <w:gridCol w:w="2089"/>
        <w:gridCol w:w="1109"/>
        <w:gridCol w:w="5874"/>
      </w:tblGrid>
      <w:tr w:rsidR="00FA1B5E" w:rsidRPr="00F57987" w14:paraId="08219929" w14:textId="77777777" w:rsidTr="00FA1B5E">
        <w:trPr>
          <w:cnfStyle w:val="100000000000" w:firstRow="1" w:lastRow="0" w:firstColumn="0" w:lastColumn="0" w:oddVBand="0" w:evenVBand="0" w:oddHBand="0" w:evenHBand="0" w:firstRowFirstColumn="0" w:firstRowLastColumn="0" w:lastRowFirstColumn="0" w:lastRowLastColumn="0"/>
        </w:trPr>
        <w:tc>
          <w:tcPr>
            <w:tcW w:w="2089" w:type="dxa"/>
          </w:tcPr>
          <w:p w14:paraId="18C6F22E" w14:textId="77777777" w:rsidR="00FA1B5E" w:rsidRPr="00F57987" w:rsidRDefault="00FA1B5E" w:rsidP="00565D3A">
            <w:pPr>
              <w:pStyle w:val="Tableheader"/>
              <w:rPr>
                <w:rFonts w:ascii="Arial" w:eastAsia="Times New Roman" w:hAnsi="Arial" w:cs="Arial"/>
                <w:b/>
                <w:bCs/>
                <w:color w:val="58595B"/>
                <w:sz w:val="21"/>
              </w:rPr>
            </w:pPr>
            <w:r w:rsidRPr="00F57987">
              <w:rPr>
                <w:rFonts w:ascii="Arial" w:eastAsia="Times New Roman" w:hAnsi="Arial" w:cs="Arial"/>
                <w:b/>
                <w:bCs/>
                <w:color w:val="58595B"/>
                <w:sz w:val="21"/>
              </w:rPr>
              <w:t>Date</w:t>
            </w:r>
          </w:p>
        </w:tc>
        <w:tc>
          <w:tcPr>
            <w:tcW w:w="1109" w:type="dxa"/>
          </w:tcPr>
          <w:p w14:paraId="23457D3E" w14:textId="77777777" w:rsidR="00FA1B5E" w:rsidRPr="00F57987" w:rsidRDefault="00FA1B5E" w:rsidP="00565D3A">
            <w:pPr>
              <w:pStyle w:val="Tableheader"/>
              <w:rPr>
                <w:rFonts w:ascii="Arial" w:eastAsia="Times New Roman" w:hAnsi="Arial" w:cs="Arial"/>
                <w:b/>
                <w:bCs/>
                <w:color w:val="58595B"/>
                <w:sz w:val="21"/>
              </w:rPr>
            </w:pPr>
            <w:r w:rsidRPr="00F57987">
              <w:rPr>
                <w:rFonts w:ascii="Arial" w:eastAsia="Times New Roman" w:hAnsi="Arial" w:cs="Arial"/>
                <w:b/>
                <w:bCs/>
                <w:color w:val="58595B"/>
                <w:sz w:val="21"/>
              </w:rPr>
              <w:t>Version</w:t>
            </w:r>
          </w:p>
        </w:tc>
        <w:tc>
          <w:tcPr>
            <w:tcW w:w="5874" w:type="dxa"/>
          </w:tcPr>
          <w:p w14:paraId="3BE285A5" w14:textId="77777777" w:rsidR="00FA1B5E" w:rsidRPr="00F57987" w:rsidRDefault="00FA1B5E" w:rsidP="00565D3A">
            <w:pPr>
              <w:pStyle w:val="Tableheader"/>
              <w:rPr>
                <w:rFonts w:ascii="Arial" w:eastAsia="Times New Roman" w:hAnsi="Arial" w:cs="Arial"/>
                <w:b/>
                <w:bCs/>
                <w:color w:val="58595B"/>
                <w:sz w:val="21"/>
              </w:rPr>
            </w:pPr>
            <w:r w:rsidRPr="00F57987">
              <w:rPr>
                <w:rFonts w:ascii="Arial" w:eastAsia="Times New Roman" w:hAnsi="Arial" w:cs="Arial"/>
                <w:b/>
                <w:bCs/>
                <w:color w:val="58595B"/>
                <w:sz w:val="21"/>
              </w:rPr>
              <w:t>Amendments</w:t>
            </w:r>
          </w:p>
        </w:tc>
      </w:tr>
      <w:tr w:rsidR="00FA1B5E" w:rsidRPr="00F57987" w14:paraId="1A9894B2" w14:textId="77777777" w:rsidTr="00FA1B5E">
        <w:trPr>
          <w:cnfStyle w:val="000000100000" w:firstRow="0" w:lastRow="0" w:firstColumn="0" w:lastColumn="0" w:oddVBand="0" w:evenVBand="0" w:oddHBand="1" w:evenHBand="0" w:firstRowFirstColumn="0" w:firstRowLastColumn="0" w:lastRowFirstColumn="0" w:lastRowLastColumn="0"/>
        </w:trPr>
        <w:tc>
          <w:tcPr>
            <w:tcW w:w="2089" w:type="dxa"/>
            <w:tcBorders>
              <w:top w:val="single" w:sz="8" w:space="0" w:color="002C47"/>
              <w:bottom w:val="single" w:sz="8" w:space="0" w:color="002C47"/>
            </w:tcBorders>
          </w:tcPr>
          <w:p w14:paraId="0BFD61AF" w14:textId="35DC35C0" w:rsidR="00FA1B5E" w:rsidRPr="00A03C53" w:rsidRDefault="00781EAF" w:rsidP="00565D3A">
            <w:pPr>
              <w:spacing w:after="120"/>
              <w:rPr>
                <w:rFonts w:ascii="Arial" w:eastAsia="Times New Roman" w:hAnsi="Arial" w:cs="Arial"/>
                <w:color w:val="58595B"/>
                <w:sz w:val="21"/>
              </w:rPr>
            </w:pPr>
            <w:r>
              <w:rPr>
                <w:rFonts w:ascii="Arial" w:eastAsia="Times New Roman" w:hAnsi="Arial" w:cs="Arial"/>
                <w:color w:val="58595B"/>
                <w:sz w:val="21"/>
              </w:rPr>
              <w:t>March</w:t>
            </w:r>
            <w:r w:rsidRPr="00874884">
              <w:rPr>
                <w:rFonts w:ascii="Arial" w:eastAsia="Times New Roman" w:hAnsi="Arial" w:cs="Arial"/>
                <w:color w:val="58595B"/>
                <w:sz w:val="21"/>
              </w:rPr>
              <w:t xml:space="preserve"> </w:t>
            </w:r>
            <w:r w:rsidR="00A03C53" w:rsidRPr="00874884">
              <w:rPr>
                <w:rFonts w:ascii="Arial" w:eastAsia="Times New Roman" w:hAnsi="Arial" w:cs="Arial"/>
                <w:color w:val="58595B"/>
                <w:sz w:val="21"/>
              </w:rPr>
              <w:t>2023</w:t>
            </w:r>
          </w:p>
        </w:tc>
        <w:tc>
          <w:tcPr>
            <w:tcW w:w="1109" w:type="dxa"/>
            <w:tcBorders>
              <w:top w:val="single" w:sz="8" w:space="0" w:color="002C47"/>
              <w:bottom w:val="single" w:sz="8" w:space="0" w:color="002C47"/>
            </w:tcBorders>
          </w:tcPr>
          <w:p w14:paraId="12993B5D" w14:textId="77777777" w:rsidR="00FA1B5E" w:rsidRPr="00A03C53" w:rsidRDefault="00FA1B5E" w:rsidP="00565D3A">
            <w:pPr>
              <w:spacing w:after="120"/>
              <w:rPr>
                <w:rFonts w:ascii="Arial" w:eastAsia="Times New Roman" w:hAnsi="Arial" w:cs="Arial"/>
                <w:color w:val="58595B"/>
                <w:sz w:val="21"/>
              </w:rPr>
            </w:pPr>
            <w:r w:rsidRPr="00A03C53">
              <w:rPr>
                <w:rFonts w:ascii="Arial" w:eastAsia="Times New Roman" w:hAnsi="Arial" w:cs="Arial"/>
                <w:color w:val="58595B"/>
                <w:sz w:val="21"/>
              </w:rPr>
              <w:t>1.0</w:t>
            </w:r>
          </w:p>
        </w:tc>
        <w:tc>
          <w:tcPr>
            <w:tcW w:w="5874" w:type="dxa"/>
            <w:tcBorders>
              <w:top w:val="single" w:sz="8" w:space="0" w:color="002C47"/>
              <w:bottom w:val="single" w:sz="8" w:space="0" w:color="002C47"/>
            </w:tcBorders>
          </w:tcPr>
          <w:p w14:paraId="1B870886" w14:textId="1F171A7E" w:rsidR="00FA1B5E" w:rsidRPr="00F57987" w:rsidRDefault="00FA1B5E" w:rsidP="00565D3A">
            <w:pPr>
              <w:spacing w:after="120"/>
              <w:rPr>
                <w:rFonts w:ascii="Arial" w:eastAsia="Times New Roman" w:hAnsi="Arial" w:cs="Arial"/>
                <w:color w:val="58595B"/>
                <w:sz w:val="21"/>
              </w:rPr>
            </w:pPr>
            <w:r w:rsidRPr="00A03C53">
              <w:rPr>
                <w:rFonts w:ascii="Arial" w:eastAsia="Times New Roman" w:hAnsi="Arial" w:cs="Arial"/>
                <w:color w:val="58595B"/>
                <w:sz w:val="21"/>
              </w:rPr>
              <w:t>First publication</w:t>
            </w:r>
          </w:p>
        </w:tc>
      </w:tr>
    </w:tbl>
    <w:p w14:paraId="703F57C9" w14:textId="55C828E1" w:rsidR="00D37A37" w:rsidRPr="00F57987" w:rsidRDefault="00D37A37">
      <w:pPr>
        <w:rPr>
          <w:rFonts w:ascii="Arial" w:hAnsi="Arial" w:cs="Arial"/>
        </w:rPr>
      </w:pPr>
    </w:p>
    <w:p w14:paraId="7AD51C92" w14:textId="77777777" w:rsidR="00D37A37" w:rsidRPr="00F57987" w:rsidRDefault="00D37A37">
      <w:pPr>
        <w:rPr>
          <w:rFonts w:ascii="Arial" w:hAnsi="Arial" w:cs="Arial"/>
        </w:rPr>
      </w:pPr>
      <w:r w:rsidRPr="00F57987">
        <w:rPr>
          <w:rFonts w:ascii="Arial" w:hAnsi="Arial" w:cs="Arial"/>
        </w:rPr>
        <w:br w:type="page"/>
      </w:r>
    </w:p>
    <w:sdt>
      <w:sdtPr>
        <w:rPr>
          <w:rFonts w:ascii="Arial" w:eastAsiaTheme="minorHAnsi" w:hAnsi="Arial" w:cs="Arial"/>
          <w:color w:val="auto"/>
          <w:sz w:val="22"/>
          <w:szCs w:val="22"/>
          <w:lang w:val="en-AU"/>
        </w:rPr>
        <w:id w:val="879134043"/>
        <w:docPartObj>
          <w:docPartGallery w:val="Table of Contents"/>
          <w:docPartUnique/>
        </w:docPartObj>
      </w:sdtPr>
      <w:sdtEndPr>
        <w:rPr>
          <w:b/>
          <w:bCs/>
          <w:noProof/>
        </w:rPr>
      </w:sdtEndPr>
      <w:sdtContent>
        <w:p w14:paraId="5DCBCCBA" w14:textId="6BCB2409" w:rsidR="00F57987" w:rsidRPr="00F57987" w:rsidRDefault="00D37A37" w:rsidP="00F57987">
          <w:pPr>
            <w:pStyle w:val="TOCHeading"/>
            <w:rPr>
              <w:rFonts w:ascii="Arial" w:eastAsia="Times New Roman" w:hAnsi="Arial" w:cs="Arial"/>
              <w:color w:val="323E4F" w:themeColor="text2" w:themeShade="BF"/>
              <w:lang w:val="en-AU" w:eastAsia="en-AU"/>
            </w:rPr>
          </w:pPr>
          <w:r w:rsidRPr="00F57987">
            <w:rPr>
              <w:rFonts w:ascii="Arial" w:eastAsia="Times New Roman" w:hAnsi="Arial" w:cs="Arial"/>
              <w:color w:val="323E4F" w:themeColor="text2" w:themeShade="BF"/>
              <w:lang w:val="en-AU" w:eastAsia="en-AU"/>
            </w:rPr>
            <w:t>Contents</w:t>
          </w:r>
        </w:p>
        <w:p w14:paraId="4C8FEFAA" w14:textId="77777777" w:rsidR="00F57987" w:rsidRDefault="00F57987">
          <w:pPr>
            <w:pStyle w:val="TOC2"/>
            <w:tabs>
              <w:tab w:val="right" w:leader="dot" w:pos="9016"/>
            </w:tabs>
            <w:rPr>
              <w:rFonts w:ascii="Arial" w:hAnsi="Arial" w:cs="Arial"/>
            </w:rPr>
          </w:pPr>
        </w:p>
        <w:p w14:paraId="3D3DC6D6" w14:textId="5E10F99F" w:rsidR="00565A0F" w:rsidRDefault="00D37A37">
          <w:pPr>
            <w:pStyle w:val="TOC2"/>
            <w:tabs>
              <w:tab w:val="right" w:leader="dot" w:pos="9016"/>
            </w:tabs>
            <w:rPr>
              <w:rFonts w:eastAsiaTheme="minorEastAsia"/>
              <w:noProof/>
              <w:lang w:eastAsia="en-AU"/>
            </w:rPr>
          </w:pPr>
          <w:r w:rsidRPr="00F57987">
            <w:rPr>
              <w:rFonts w:ascii="Arial" w:hAnsi="Arial" w:cs="Arial"/>
            </w:rPr>
            <w:fldChar w:fldCharType="begin"/>
          </w:r>
          <w:r w:rsidRPr="00F57987">
            <w:rPr>
              <w:rFonts w:ascii="Arial" w:hAnsi="Arial" w:cs="Arial"/>
            </w:rPr>
            <w:instrText xml:space="preserve"> TOC \o "1-3" \h \z \u </w:instrText>
          </w:r>
          <w:r w:rsidRPr="00F57987">
            <w:rPr>
              <w:rFonts w:ascii="Arial" w:hAnsi="Arial" w:cs="Arial"/>
            </w:rPr>
            <w:fldChar w:fldCharType="separate"/>
          </w:r>
          <w:hyperlink w:anchor="_Toc125715060" w:history="1">
            <w:r w:rsidR="00565A0F" w:rsidRPr="00DF1575">
              <w:rPr>
                <w:rStyle w:val="Hyperlink"/>
                <w:noProof/>
              </w:rPr>
              <w:t>1. Introduction</w:t>
            </w:r>
            <w:r w:rsidR="00565A0F">
              <w:rPr>
                <w:noProof/>
                <w:webHidden/>
              </w:rPr>
              <w:tab/>
            </w:r>
            <w:r w:rsidR="00565A0F">
              <w:rPr>
                <w:noProof/>
                <w:webHidden/>
              </w:rPr>
              <w:fldChar w:fldCharType="begin"/>
            </w:r>
            <w:r w:rsidR="00565A0F">
              <w:rPr>
                <w:noProof/>
                <w:webHidden/>
              </w:rPr>
              <w:instrText xml:space="preserve"> PAGEREF _Toc125715060 \h </w:instrText>
            </w:r>
            <w:r w:rsidR="00565A0F">
              <w:rPr>
                <w:noProof/>
                <w:webHidden/>
              </w:rPr>
            </w:r>
            <w:r w:rsidR="00565A0F">
              <w:rPr>
                <w:noProof/>
                <w:webHidden/>
              </w:rPr>
              <w:fldChar w:fldCharType="separate"/>
            </w:r>
            <w:r w:rsidR="00713D93">
              <w:rPr>
                <w:noProof/>
                <w:webHidden/>
              </w:rPr>
              <w:t>4</w:t>
            </w:r>
            <w:r w:rsidR="00565A0F">
              <w:rPr>
                <w:noProof/>
                <w:webHidden/>
              </w:rPr>
              <w:fldChar w:fldCharType="end"/>
            </w:r>
          </w:hyperlink>
        </w:p>
        <w:p w14:paraId="0601C222" w14:textId="65F7368B" w:rsidR="00565A0F" w:rsidRDefault="00BD6E98">
          <w:pPr>
            <w:pStyle w:val="TOC2"/>
            <w:tabs>
              <w:tab w:val="right" w:leader="dot" w:pos="9016"/>
            </w:tabs>
            <w:rPr>
              <w:rFonts w:eastAsiaTheme="minorEastAsia"/>
              <w:noProof/>
              <w:lang w:eastAsia="en-AU"/>
            </w:rPr>
          </w:pPr>
          <w:hyperlink w:anchor="_Toc125715061" w:history="1">
            <w:r w:rsidR="00565A0F" w:rsidRPr="00DF1575">
              <w:rPr>
                <w:rStyle w:val="Hyperlink"/>
                <w:noProof/>
              </w:rPr>
              <w:t>2. Legislative requirements</w:t>
            </w:r>
            <w:r w:rsidR="00565A0F">
              <w:rPr>
                <w:noProof/>
                <w:webHidden/>
              </w:rPr>
              <w:tab/>
            </w:r>
            <w:r w:rsidR="00565A0F">
              <w:rPr>
                <w:noProof/>
                <w:webHidden/>
              </w:rPr>
              <w:fldChar w:fldCharType="begin"/>
            </w:r>
            <w:r w:rsidR="00565A0F">
              <w:rPr>
                <w:noProof/>
                <w:webHidden/>
              </w:rPr>
              <w:instrText xml:space="preserve"> PAGEREF _Toc125715061 \h </w:instrText>
            </w:r>
            <w:r w:rsidR="00565A0F">
              <w:rPr>
                <w:noProof/>
                <w:webHidden/>
              </w:rPr>
            </w:r>
            <w:r w:rsidR="00565A0F">
              <w:rPr>
                <w:noProof/>
                <w:webHidden/>
              </w:rPr>
              <w:fldChar w:fldCharType="separate"/>
            </w:r>
            <w:r w:rsidR="00713D93">
              <w:rPr>
                <w:noProof/>
                <w:webHidden/>
              </w:rPr>
              <w:t>6</w:t>
            </w:r>
            <w:r w:rsidR="00565A0F">
              <w:rPr>
                <w:noProof/>
                <w:webHidden/>
              </w:rPr>
              <w:fldChar w:fldCharType="end"/>
            </w:r>
          </w:hyperlink>
        </w:p>
        <w:p w14:paraId="0C814349" w14:textId="23C0151C" w:rsidR="00565A0F" w:rsidRDefault="00BD6E98">
          <w:pPr>
            <w:pStyle w:val="TOC2"/>
            <w:tabs>
              <w:tab w:val="right" w:leader="dot" w:pos="9016"/>
            </w:tabs>
            <w:rPr>
              <w:rFonts w:eastAsiaTheme="minorEastAsia"/>
              <w:noProof/>
              <w:lang w:eastAsia="en-AU"/>
            </w:rPr>
          </w:pPr>
          <w:hyperlink w:anchor="_Toc125715062" w:history="1">
            <w:r w:rsidR="00565A0F" w:rsidRPr="00DF1575">
              <w:rPr>
                <w:rStyle w:val="Hyperlink"/>
                <w:noProof/>
              </w:rPr>
              <w:t>3. Risk-based approach to compliance</w:t>
            </w:r>
            <w:r w:rsidR="00565A0F">
              <w:rPr>
                <w:noProof/>
                <w:webHidden/>
              </w:rPr>
              <w:tab/>
            </w:r>
            <w:r w:rsidR="00565A0F">
              <w:rPr>
                <w:noProof/>
                <w:webHidden/>
              </w:rPr>
              <w:fldChar w:fldCharType="begin"/>
            </w:r>
            <w:r w:rsidR="00565A0F">
              <w:rPr>
                <w:noProof/>
                <w:webHidden/>
              </w:rPr>
              <w:instrText xml:space="preserve"> PAGEREF _Toc125715062 \h </w:instrText>
            </w:r>
            <w:r w:rsidR="00565A0F">
              <w:rPr>
                <w:noProof/>
                <w:webHidden/>
              </w:rPr>
            </w:r>
            <w:r w:rsidR="00565A0F">
              <w:rPr>
                <w:noProof/>
                <w:webHidden/>
              </w:rPr>
              <w:fldChar w:fldCharType="separate"/>
            </w:r>
            <w:r w:rsidR="00713D93">
              <w:rPr>
                <w:noProof/>
                <w:webHidden/>
              </w:rPr>
              <w:t>7</w:t>
            </w:r>
            <w:r w:rsidR="00565A0F">
              <w:rPr>
                <w:noProof/>
                <w:webHidden/>
              </w:rPr>
              <w:fldChar w:fldCharType="end"/>
            </w:r>
          </w:hyperlink>
        </w:p>
        <w:p w14:paraId="55FEEC15" w14:textId="281F73B2" w:rsidR="00565A0F" w:rsidRDefault="00BD6E98">
          <w:pPr>
            <w:pStyle w:val="TOC2"/>
            <w:tabs>
              <w:tab w:val="right" w:leader="dot" w:pos="9016"/>
            </w:tabs>
            <w:rPr>
              <w:rFonts w:eastAsiaTheme="minorEastAsia"/>
              <w:noProof/>
              <w:lang w:eastAsia="en-AU"/>
            </w:rPr>
          </w:pPr>
          <w:hyperlink w:anchor="_Toc125715063" w:history="1">
            <w:r w:rsidR="00565A0F" w:rsidRPr="00DF1575">
              <w:rPr>
                <w:rStyle w:val="Hyperlink"/>
                <w:noProof/>
              </w:rPr>
              <w:t>4. Compliance Monitoring</w:t>
            </w:r>
            <w:r w:rsidR="00565A0F">
              <w:rPr>
                <w:noProof/>
                <w:webHidden/>
              </w:rPr>
              <w:tab/>
            </w:r>
            <w:r w:rsidR="00565A0F">
              <w:rPr>
                <w:noProof/>
                <w:webHidden/>
              </w:rPr>
              <w:fldChar w:fldCharType="begin"/>
            </w:r>
            <w:r w:rsidR="00565A0F">
              <w:rPr>
                <w:noProof/>
                <w:webHidden/>
              </w:rPr>
              <w:instrText xml:space="preserve"> PAGEREF _Toc125715063 \h </w:instrText>
            </w:r>
            <w:r w:rsidR="00565A0F">
              <w:rPr>
                <w:noProof/>
                <w:webHidden/>
              </w:rPr>
            </w:r>
            <w:r w:rsidR="00565A0F">
              <w:rPr>
                <w:noProof/>
                <w:webHidden/>
              </w:rPr>
              <w:fldChar w:fldCharType="separate"/>
            </w:r>
            <w:r w:rsidR="00713D93">
              <w:rPr>
                <w:noProof/>
                <w:webHidden/>
              </w:rPr>
              <w:t>9</w:t>
            </w:r>
            <w:r w:rsidR="00565A0F">
              <w:rPr>
                <w:noProof/>
                <w:webHidden/>
              </w:rPr>
              <w:fldChar w:fldCharType="end"/>
            </w:r>
          </w:hyperlink>
        </w:p>
        <w:p w14:paraId="2FB3D40C" w14:textId="1BBB01BF" w:rsidR="00565A0F" w:rsidRDefault="00BD6E98">
          <w:pPr>
            <w:pStyle w:val="TOC2"/>
            <w:tabs>
              <w:tab w:val="right" w:leader="dot" w:pos="9016"/>
            </w:tabs>
            <w:rPr>
              <w:rFonts w:eastAsiaTheme="minorEastAsia"/>
              <w:noProof/>
              <w:lang w:eastAsia="en-AU"/>
            </w:rPr>
          </w:pPr>
          <w:hyperlink w:anchor="_Toc125715064" w:history="1">
            <w:r w:rsidR="00565A0F" w:rsidRPr="00DF1575">
              <w:rPr>
                <w:rStyle w:val="Hyperlink"/>
                <w:noProof/>
              </w:rPr>
              <w:t>5. Intelligence collection and analysis</w:t>
            </w:r>
            <w:r w:rsidR="00565A0F">
              <w:rPr>
                <w:noProof/>
                <w:webHidden/>
              </w:rPr>
              <w:tab/>
            </w:r>
            <w:r w:rsidR="00565A0F">
              <w:rPr>
                <w:noProof/>
                <w:webHidden/>
              </w:rPr>
              <w:fldChar w:fldCharType="begin"/>
            </w:r>
            <w:r w:rsidR="00565A0F">
              <w:rPr>
                <w:noProof/>
                <w:webHidden/>
              </w:rPr>
              <w:instrText xml:space="preserve"> PAGEREF _Toc125715064 \h </w:instrText>
            </w:r>
            <w:r w:rsidR="00565A0F">
              <w:rPr>
                <w:noProof/>
                <w:webHidden/>
              </w:rPr>
            </w:r>
            <w:r w:rsidR="00565A0F">
              <w:rPr>
                <w:noProof/>
                <w:webHidden/>
              </w:rPr>
              <w:fldChar w:fldCharType="separate"/>
            </w:r>
            <w:r w:rsidR="00713D93">
              <w:rPr>
                <w:noProof/>
                <w:webHidden/>
              </w:rPr>
              <w:t>10</w:t>
            </w:r>
            <w:r w:rsidR="00565A0F">
              <w:rPr>
                <w:noProof/>
                <w:webHidden/>
              </w:rPr>
              <w:fldChar w:fldCharType="end"/>
            </w:r>
          </w:hyperlink>
        </w:p>
        <w:p w14:paraId="20DA91D9" w14:textId="21B70CB8" w:rsidR="00565A0F" w:rsidRDefault="00BD6E98">
          <w:pPr>
            <w:pStyle w:val="TOC2"/>
            <w:tabs>
              <w:tab w:val="right" w:leader="dot" w:pos="9016"/>
            </w:tabs>
            <w:rPr>
              <w:rFonts w:eastAsiaTheme="minorEastAsia"/>
              <w:noProof/>
              <w:lang w:eastAsia="en-AU"/>
            </w:rPr>
          </w:pPr>
          <w:hyperlink w:anchor="_Toc125715065" w:history="1">
            <w:r w:rsidR="00565A0F" w:rsidRPr="00DF1575">
              <w:rPr>
                <w:rStyle w:val="Hyperlink"/>
                <w:noProof/>
              </w:rPr>
              <w:t>6. Stakeholder Engagement and Education</w:t>
            </w:r>
            <w:r w:rsidR="00565A0F">
              <w:rPr>
                <w:noProof/>
                <w:webHidden/>
              </w:rPr>
              <w:tab/>
            </w:r>
            <w:r w:rsidR="00565A0F">
              <w:rPr>
                <w:noProof/>
                <w:webHidden/>
              </w:rPr>
              <w:fldChar w:fldCharType="begin"/>
            </w:r>
            <w:r w:rsidR="00565A0F">
              <w:rPr>
                <w:noProof/>
                <w:webHidden/>
              </w:rPr>
              <w:instrText xml:space="preserve"> PAGEREF _Toc125715065 \h </w:instrText>
            </w:r>
            <w:r w:rsidR="00565A0F">
              <w:rPr>
                <w:noProof/>
                <w:webHidden/>
              </w:rPr>
            </w:r>
            <w:r w:rsidR="00565A0F">
              <w:rPr>
                <w:noProof/>
                <w:webHidden/>
              </w:rPr>
              <w:fldChar w:fldCharType="separate"/>
            </w:r>
            <w:r w:rsidR="00713D93">
              <w:rPr>
                <w:noProof/>
                <w:webHidden/>
              </w:rPr>
              <w:t>12</w:t>
            </w:r>
            <w:r w:rsidR="00565A0F">
              <w:rPr>
                <w:noProof/>
                <w:webHidden/>
              </w:rPr>
              <w:fldChar w:fldCharType="end"/>
            </w:r>
          </w:hyperlink>
        </w:p>
        <w:p w14:paraId="7C1A023A" w14:textId="73ACD735" w:rsidR="00565A0F" w:rsidRDefault="00BD6E98">
          <w:pPr>
            <w:pStyle w:val="TOC2"/>
            <w:tabs>
              <w:tab w:val="right" w:leader="dot" w:pos="9016"/>
            </w:tabs>
            <w:rPr>
              <w:rFonts w:eastAsiaTheme="minorEastAsia"/>
              <w:noProof/>
              <w:lang w:eastAsia="en-AU"/>
            </w:rPr>
          </w:pPr>
          <w:hyperlink w:anchor="_Toc125715066" w:history="1">
            <w:r w:rsidR="00565A0F" w:rsidRPr="00DF1575">
              <w:rPr>
                <w:rStyle w:val="Hyperlink"/>
                <w:noProof/>
              </w:rPr>
              <w:t>7. Prioritisation</w:t>
            </w:r>
            <w:r w:rsidR="00565A0F">
              <w:rPr>
                <w:noProof/>
                <w:webHidden/>
              </w:rPr>
              <w:tab/>
            </w:r>
            <w:r w:rsidR="00565A0F">
              <w:rPr>
                <w:noProof/>
                <w:webHidden/>
              </w:rPr>
              <w:fldChar w:fldCharType="begin"/>
            </w:r>
            <w:r w:rsidR="00565A0F">
              <w:rPr>
                <w:noProof/>
                <w:webHidden/>
              </w:rPr>
              <w:instrText xml:space="preserve"> PAGEREF _Toc125715066 \h </w:instrText>
            </w:r>
            <w:r w:rsidR="00565A0F">
              <w:rPr>
                <w:noProof/>
                <w:webHidden/>
              </w:rPr>
            </w:r>
            <w:r w:rsidR="00565A0F">
              <w:rPr>
                <w:noProof/>
                <w:webHidden/>
              </w:rPr>
              <w:fldChar w:fldCharType="separate"/>
            </w:r>
            <w:r w:rsidR="00713D93">
              <w:rPr>
                <w:noProof/>
                <w:webHidden/>
              </w:rPr>
              <w:t>12</w:t>
            </w:r>
            <w:r w:rsidR="00565A0F">
              <w:rPr>
                <w:noProof/>
                <w:webHidden/>
              </w:rPr>
              <w:fldChar w:fldCharType="end"/>
            </w:r>
          </w:hyperlink>
        </w:p>
        <w:p w14:paraId="0CD46774" w14:textId="6A6FFE53" w:rsidR="00565A0F" w:rsidRDefault="00BD6E98">
          <w:pPr>
            <w:pStyle w:val="TOC2"/>
            <w:tabs>
              <w:tab w:val="right" w:leader="dot" w:pos="9016"/>
            </w:tabs>
            <w:rPr>
              <w:rFonts w:eastAsiaTheme="minorEastAsia"/>
              <w:noProof/>
              <w:lang w:eastAsia="en-AU"/>
            </w:rPr>
          </w:pPr>
          <w:hyperlink w:anchor="_Toc125715067" w:history="1">
            <w:r w:rsidR="00565A0F" w:rsidRPr="00DF1575">
              <w:rPr>
                <w:rStyle w:val="Hyperlink"/>
                <w:noProof/>
              </w:rPr>
              <w:t>8. Compliance Inspections</w:t>
            </w:r>
            <w:r w:rsidR="00565A0F">
              <w:rPr>
                <w:noProof/>
                <w:webHidden/>
              </w:rPr>
              <w:tab/>
            </w:r>
            <w:r w:rsidR="00565A0F">
              <w:rPr>
                <w:noProof/>
                <w:webHidden/>
              </w:rPr>
              <w:fldChar w:fldCharType="begin"/>
            </w:r>
            <w:r w:rsidR="00565A0F">
              <w:rPr>
                <w:noProof/>
                <w:webHidden/>
              </w:rPr>
              <w:instrText xml:space="preserve"> PAGEREF _Toc125715067 \h </w:instrText>
            </w:r>
            <w:r w:rsidR="00565A0F">
              <w:rPr>
                <w:noProof/>
                <w:webHidden/>
              </w:rPr>
            </w:r>
            <w:r w:rsidR="00565A0F">
              <w:rPr>
                <w:noProof/>
                <w:webHidden/>
              </w:rPr>
              <w:fldChar w:fldCharType="separate"/>
            </w:r>
            <w:r w:rsidR="00713D93">
              <w:rPr>
                <w:noProof/>
                <w:webHidden/>
              </w:rPr>
              <w:t>13</w:t>
            </w:r>
            <w:r w:rsidR="00565A0F">
              <w:rPr>
                <w:noProof/>
                <w:webHidden/>
              </w:rPr>
              <w:fldChar w:fldCharType="end"/>
            </w:r>
          </w:hyperlink>
        </w:p>
        <w:p w14:paraId="4B9194B2" w14:textId="13C517E3" w:rsidR="00565A0F" w:rsidRDefault="00BD6E98">
          <w:pPr>
            <w:pStyle w:val="TOC2"/>
            <w:tabs>
              <w:tab w:val="right" w:leader="dot" w:pos="9016"/>
            </w:tabs>
            <w:rPr>
              <w:rFonts w:eastAsiaTheme="minorEastAsia"/>
              <w:noProof/>
              <w:lang w:eastAsia="en-AU"/>
            </w:rPr>
          </w:pPr>
          <w:hyperlink w:anchor="_Toc125715068" w:history="1">
            <w:r w:rsidR="00565A0F" w:rsidRPr="00DF1575">
              <w:rPr>
                <w:rStyle w:val="Hyperlink"/>
                <w:noProof/>
              </w:rPr>
              <w:t>9. Investigations</w:t>
            </w:r>
            <w:r w:rsidR="00565A0F">
              <w:rPr>
                <w:noProof/>
                <w:webHidden/>
              </w:rPr>
              <w:tab/>
            </w:r>
            <w:r w:rsidR="00565A0F">
              <w:rPr>
                <w:noProof/>
                <w:webHidden/>
              </w:rPr>
              <w:fldChar w:fldCharType="begin"/>
            </w:r>
            <w:r w:rsidR="00565A0F">
              <w:rPr>
                <w:noProof/>
                <w:webHidden/>
              </w:rPr>
              <w:instrText xml:space="preserve"> PAGEREF _Toc125715068 \h </w:instrText>
            </w:r>
            <w:r w:rsidR="00565A0F">
              <w:rPr>
                <w:noProof/>
                <w:webHidden/>
              </w:rPr>
            </w:r>
            <w:r w:rsidR="00565A0F">
              <w:rPr>
                <w:noProof/>
                <w:webHidden/>
              </w:rPr>
              <w:fldChar w:fldCharType="separate"/>
            </w:r>
            <w:r w:rsidR="00713D93">
              <w:rPr>
                <w:noProof/>
                <w:webHidden/>
              </w:rPr>
              <w:t>14</w:t>
            </w:r>
            <w:r w:rsidR="00565A0F">
              <w:rPr>
                <w:noProof/>
                <w:webHidden/>
              </w:rPr>
              <w:fldChar w:fldCharType="end"/>
            </w:r>
          </w:hyperlink>
        </w:p>
        <w:p w14:paraId="2B025C6A" w14:textId="6AE456C1" w:rsidR="00565A0F" w:rsidRDefault="00BD6E98">
          <w:pPr>
            <w:pStyle w:val="TOC2"/>
            <w:tabs>
              <w:tab w:val="right" w:leader="dot" w:pos="9016"/>
            </w:tabs>
            <w:rPr>
              <w:rFonts w:eastAsiaTheme="minorEastAsia"/>
              <w:noProof/>
              <w:lang w:eastAsia="en-AU"/>
            </w:rPr>
          </w:pPr>
          <w:hyperlink w:anchor="_Toc125715069" w:history="1">
            <w:r w:rsidR="00565A0F" w:rsidRPr="00DF1575">
              <w:rPr>
                <w:rStyle w:val="Hyperlink"/>
                <w:noProof/>
              </w:rPr>
              <w:t>10. Enforcement</w:t>
            </w:r>
            <w:r w:rsidR="00565A0F">
              <w:rPr>
                <w:noProof/>
                <w:webHidden/>
              </w:rPr>
              <w:tab/>
            </w:r>
            <w:r w:rsidR="00565A0F">
              <w:rPr>
                <w:noProof/>
                <w:webHidden/>
              </w:rPr>
              <w:fldChar w:fldCharType="begin"/>
            </w:r>
            <w:r w:rsidR="00565A0F">
              <w:rPr>
                <w:noProof/>
                <w:webHidden/>
              </w:rPr>
              <w:instrText xml:space="preserve"> PAGEREF _Toc125715069 \h </w:instrText>
            </w:r>
            <w:r w:rsidR="00565A0F">
              <w:rPr>
                <w:noProof/>
                <w:webHidden/>
              </w:rPr>
            </w:r>
            <w:r w:rsidR="00565A0F">
              <w:rPr>
                <w:noProof/>
                <w:webHidden/>
              </w:rPr>
              <w:fldChar w:fldCharType="separate"/>
            </w:r>
            <w:r w:rsidR="00713D93">
              <w:rPr>
                <w:noProof/>
                <w:webHidden/>
              </w:rPr>
              <w:t>14</w:t>
            </w:r>
            <w:r w:rsidR="00565A0F">
              <w:rPr>
                <w:noProof/>
                <w:webHidden/>
              </w:rPr>
              <w:fldChar w:fldCharType="end"/>
            </w:r>
          </w:hyperlink>
        </w:p>
        <w:p w14:paraId="14A009A1" w14:textId="789F626E" w:rsidR="00565A0F" w:rsidRDefault="00BD6E98">
          <w:pPr>
            <w:pStyle w:val="TOC2"/>
            <w:tabs>
              <w:tab w:val="right" w:leader="dot" w:pos="9016"/>
            </w:tabs>
            <w:rPr>
              <w:rFonts w:eastAsiaTheme="minorEastAsia"/>
              <w:noProof/>
              <w:lang w:eastAsia="en-AU"/>
            </w:rPr>
          </w:pPr>
          <w:hyperlink w:anchor="_Toc125715070" w:history="1">
            <w:r w:rsidR="00565A0F" w:rsidRPr="00DF1575">
              <w:rPr>
                <w:rStyle w:val="Hyperlink"/>
                <w:noProof/>
              </w:rPr>
              <w:t>11. Administrative Law Principles</w:t>
            </w:r>
            <w:r w:rsidR="00565A0F">
              <w:rPr>
                <w:noProof/>
                <w:webHidden/>
              </w:rPr>
              <w:tab/>
            </w:r>
            <w:r w:rsidR="00565A0F">
              <w:rPr>
                <w:noProof/>
                <w:webHidden/>
              </w:rPr>
              <w:fldChar w:fldCharType="begin"/>
            </w:r>
            <w:r w:rsidR="00565A0F">
              <w:rPr>
                <w:noProof/>
                <w:webHidden/>
              </w:rPr>
              <w:instrText xml:space="preserve"> PAGEREF _Toc125715070 \h </w:instrText>
            </w:r>
            <w:r w:rsidR="00565A0F">
              <w:rPr>
                <w:noProof/>
                <w:webHidden/>
              </w:rPr>
            </w:r>
            <w:r w:rsidR="00565A0F">
              <w:rPr>
                <w:noProof/>
                <w:webHidden/>
              </w:rPr>
              <w:fldChar w:fldCharType="separate"/>
            </w:r>
            <w:r w:rsidR="00713D93">
              <w:rPr>
                <w:noProof/>
                <w:webHidden/>
              </w:rPr>
              <w:t>15</w:t>
            </w:r>
            <w:r w:rsidR="00565A0F">
              <w:rPr>
                <w:noProof/>
                <w:webHidden/>
              </w:rPr>
              <w:fldChar w:fldCharType="end"/>
            </w:r>
          </w:hyperlink>
        </w:p>
        <w:p w14:paraId="0515CF34" w14:textId="6145D3D9" w:rsidR="00D37A37" w:rsidRPr="00F57987" w:rsidRDefault="00D37A37">
          <w:pPr>
            <w:rPr>
              <w:rFonts w:ascii="Arial" w:hAnsi="Arial" w:cs="Arial"/>
            </w:rPr>
          </w:pPr>
          <w:r w:rsidRPr="00F57987">
            <w:rPr>
              <w:rFonts w:ascii="Arial" w:hAnsi="Arial" w:cs="Arial"/>
              <w:b/>
              <w:bCs/>
              <w:noProof/>
            </w:rPr>
            <w:fldChar w:fldCharType="end"/>
          </w:r>
        </w:p>
      </w:sdtContent>
    </w:sdt>
    <w:p w14:paraId="68BB700B" w14:textId="77777777" w:rsidR="00D37A37" w:rsidRPr="00F57987" w:rsidRDefault="00D37A37">
      <w:pPr>
        <w:rPr>
          <w:rFonts w:ascii="Arial" w:eastAsia="Times New Roman" w:hAnsi="Arial" w:cs="Arial"/>
          <w:bCs/>
          <w:color w:val="3F4A75"/>
          <w:kern w:val="28"/>
          <w:sz w:val="36"/>
          <w:szCs w:val="36"/>
          <w:lang w:eastAsia="en-AU"/>
        </w:rPr>
      </w:pPr>
      <w:r w:rsidRPr="00F57987">
        <w:rPr>
          <w:rFonts w:ascii="Arial" w:hAnsi="Arial" w:cs="Arial"/>
        </w:rPr>
        <w:br w:type="page"/>
      </w:r>
    </w:p>
    <w:p w14:paraId="48D737A2" w14:textId="77777777" w:rsidR="00D37A37" w:rsidRPr="00F57987" w:rsidRDefault="00D37A37" w:rsidP="00F57987">
      <w:pPr>
        <w:pStyle w:val="Title"/>
        <w:rPr>
          <w:b w:val="0"/>
          <w:bCs/>
          <w:sz w:val="36"/>
          <w:szCs w:val="36"/>
        </w:rPr>
      </w:pPr>
      <w:r w:rsidRPr="00F57987">
        <w:rPr>
          <w:b w:val="0"/>
          <w:bCs/>
          <w:sz w:val="36"/>
          <w:szCs w:val="36"/>
        </w:rPr>
        <w:lastRenderedPageBreak/>
        <w:t>Compliance and enforcement framework</w:t>
      </w:r>
    </w:p>
    <w:p w14:paraId="037E21FD" w14:textId="77777777" w:rsidR="00D37A37" w:rsidRPr="00F57987" w:rsidRDefault="00D37A37" w:rsidP="00D37A37">
      <w:pPr>
        <w:pStyle w:val="Heading2"/>
        <w:spacing w:after="240"/>
      </w:pPr>
      <w:bookmarkStart w:id="0" w:name="_Toc111825245"/>
      <w:bookmarkStart w:id="1" w:name="_Toc125715060"/>
      <w:r w:rsidRPr="00F57987">
        <w:t>1. Introduction</w:t>
      </w:r>
      <w:bookmarkEnd w:id="0"/>
      <w:bookmarkEnd w:id="1"/>
    </w:p>
    <w:p w14:paraId="18EA9C1D" w14:textId="77777777" w:rsidR="00D37A37" w:rsidRPr="00F57987" w:rsidRDefault="00D37A37" w:rsidP="00D37A37">
      <w:pPr>
        <w:pStyle w:val="NormalWeb"/>
        <w:spacing w:before="240" w:beforeAutospacing="0" w:after="240" w:afterAutospacing="0"/>
        <w:rPr>
          <w:rFonts w:asciiTheme="minorHAnsi" w:hAnsiTheme="minorHAnsi" w:cstheme="minorHAnsi"/>
          <w:color w:val="222222"/>
          <w:sz w:val="22"/>
          <w:szCs w:val="22"/>
        </w:rPr>
      </w:pPr>
      <w:r w:rsidRPr="00F57987">
        <w:rPr>
          <w:rFonts w:asciiTheme="minorHAnsi" w:hAnsiTheme="minorHAnsi" w:cstheme="minorHAnsi"/>
          <w:color w:val="222222"/>
          <w:sz w:val="22"/>
          <w:szCs w:val="22"/>
        </w:rPr>
        <w:t>The Office of Drug Control (ODC), as part of the Department of Health and Aged Care, regulates the import, export, cultivation, production and manufacture of controlled drugs as part of Australia’s obligations under the International Drug Conventions:</w:t>
      </w:r>
    </w:p>
    <w:p w14:paraId="7B73B6A9" w14:textId="52032B8D" w:rsidR="00D37A37" w:rsidRPr="00F57987" w:rsidRDefault="00BD6E98" w:rsidP="009B39C2">
      <w:pPr>
        <w:pStyle w:val="ListBullet"/>
        <w:rPr>
          <w:color w:val="222222"/>
        </w:rPr>
      </w:pPr>
      <w:hyperlink r:id="rId10" w:history="1">
        <w:r w:rsidR="00D37A37" w:rsidRPr="00F57987">
          <w:rPr>
            <w:rStyle w:val="Hyperlink"/>
            <w:rFonts w:cstheme="minorHAnsi"/>
            <w:i/>
            <w:iCs/>
          </w:rPr>
          <w:t xml:space="preserve">Single Convention of Narcotic Drugs 1961, as amended by the 1972 protocol </w:t>
        </w:r>
        <w:r w:rsidR="00F57987">
          <w:rPr>
            <w:rStyle w:val="Hyperlink"/>
            <w:rFonts w:cstheme="minorHAnsi"/>
            <w:i/>
            <w:iCs/>
          </w:rPr>
          <w:br/>
        </w:r>
        <w:r w:rsidR="00D37A37" w:rsidRPr="00F57987">
          <w:rPr>
            <w:rStyle w:val="Hyperlink"/>
            <w:rFonts w:cstheme="minorHAnsi"/>
            <w:i/>
            <w:iCs/>
          </w:rPr>
          <w:t>(the Single Convention</w:t>
        </w:r>
      </w:hyperlink>
      <w:r w:rsidR="00D37A37" w:rsidRPr="00F57987">
        <w:rPr>
          <w:color w:val="222222"/>
        </w:rPr>
        <w:t>);</w:t>
      </w:r>
    </w:p>
    <w:p w14:paraId="21335F17" w14:textId="77777777" w:rsidR="00D37A37" w:rsidRPr="00F57987" w:rsidRDefault="00BD6E98" w:rsidP="009B39C2">
      <w:pPr>
        <w:pStyle w:val="ListBullet"/>
        <w:rPr>
          <w:color w:val="222222"/>
        </w:rPr>
      </w:pPr>
      <w:hyperlink r:id="rId11" w:history="1">
        <w:r w:rsidR="00D37A37" w:rsidRPr="00F57987">
          <w:rPr>
            <w:rStyle w:val="Hyperlink"/>
            <w:rFonts w:cstheme="minorHAnsi"/>
            <w:i/>
            <w:iCs/>
          </w:rPr>
          <w:t>Convention on Psychotropic Substances 1971</w:t>
        </w:r>
      </w:hyperlink>
      <w:r w:rsidR="00D37A37" w:rsidRPr="00F57987">
        <w:rPr>
          <w:color w:val="222222"/>
        </w:rPr>
        <w:t xml:space="preserve">; </w:t>
      </w:r>
      <w:r w:rsidR="00D37A37" w:rsidRPr="001A3B0E">
        <w:rPr>
          <w:color w:val="222222"/>
        </w:rPr>
        <w:t>and</w:t>
      </w:r>
    </w:p>
    <w:p w14:paraId="4AD3CC32" w14:textId="77777777" w:rsidR="00D37A37" w:rsidRPr="00F57987" w:rsidRDefault="00BD6E98" w:rsidP="009B39C2">
      <w:pPr>
        <w:pStyle w:val="ListBullet"/>
        <w:rPr>
          <w:color w:val="222222"/>
        </w:rPr>
      </w:pPr>
      <w:hyperlink r:id="rId12" w:history="1">
        <w:r w:rsidR="00D37A37" w:rsidRPr="00F57987">
          <w:rPr>
            <w:rStyle w:val="Hyperlink"/>
            <w:rFonts w:cstheme="minorHAnsi"/>
            <w:i/>
            <w:iCs/>
          </w:rPr>
          <w:t>United Nations Convention against illicit traffic in Narcotic Drugs and Psychotropic Substances of 1988</w:t>
        </w:r>
      </w:hyperlink>
      <w:r w:rsidR="00D37A37" w:rsidRPr="00F57987">
        <w:rPr>
          <w:color w:val="222222"/>
        </w:rPr>
        <w:t>.</w:t>
      </w:r>
    </w:p>
    <w:p w14:paraId="3A4D8802" w14:textId="3F2D5318" w:rsidR="00D37A37" w:rsidRPr="00F57987" w:rsidRDefault="00D37A37" w:rsidP="00D37A37">
      <w:pPr>
        <w:pStyle w:val="NormalWeb"/>
        <w:spacing w:before="240" w:after="240"/>
        <w:rPr>
          <w:rFonts w:asciiTheme="minorHAnsi" w:hAnsiTheme="minorHAnsi" w:cstheme="minorHAnsi"/>
          <w:color w:val="222222"/>
          <w:sz w:val="22"/>
          <w:szCs w:val="22"/>
        </w:rPr>
      </w:pPr>
      <w:r w:rsidRPr="00F57987">
        <w:rPr>
          <w:rFonts w:asciiTheme="minorHAnsi" w:hAnsiTheme="minorHAnsi" w:cstheme="minorHAnsi"/>
          <w:color w:val="222222"/>
          <w:sz w:val="22"/>
          <w:szCs w:val="22"/>
        </w:rPr>
        <w:t xml:space="preserve">The purpose of the drug conventions </w:t>
      </w:r>
      <w:r w:rsidR="0059452E">
        <w:rPr>
          <w:rFonts w:asciiTheme="minorHAnsi" w:hAnsiTheme="minorHAnsi" w:cstheme="minorHAnsi"/>
          <w:color w:val="222222"/>
          <w:sz w:val="22"/>
          <w:szCs w:val="22"/>
        </w:rPr>
        <w:t>is</w:t>
      </w:r>
      <w:r w:rsidR="0059452E" w:rsidRPr="00F57987">
        <w:rPr>
          <w:rFonts w:asciiTheme="minorHAnsi" w:hAnsiTheme="minorHAnsi" w:cstheme="minorHAnsi"/>
          <w:color w:val="222222"/>
          <w:sz w:val="22"/>
          <w:szCs w:val="22"/>
        </w:rPr>
        <w:t xml:space="preserve"> </w:t>
      </w:r>
      <w:r w:rsidRPr="00F57987">
        <w:rPr>
          <w:rFonts w:asciiTheme="minorHAnsi" w:hAnsiTheme="minorHAnsi" w:cstheme="minorHAnsi"/>
          <w:color w:val="222222"/>
          <w:sz w:val="22"/>
          <w:szCs w:val="22"/>
        </w:rPr>
        <w:t>to provide an international framework that recognises the medicinal and scientific value of narcotic and psychotropic drugs and ensure that these drugs are available for legitimate purposes.</w:t>
      </w:r>
    </w:p>
    <w:p w14:paraId="545F638C" w14:textId="77777777" w:rsidR="00D24E7B" w:rsidRDefault="00D24E7B" w:rsidP="00E10A2F">
      <w:pPr>
        <w:pStyle w:val="NormalWeb"/>
        <w:rPr>
          <w:rFonts w:asciiTheme="minorHAnsi" w:hAnsiTheme="minorHAnsi" w:cstheme="minorHAnsi"/>
          <w:color w:val="222222"/>
          <w:sz w:val="22"/>
          <w:szCs w:val="22"/>
        </w:rPr>
      </w:pPr>
      <w:r>
        <w:rPr>
          <w:rFonts w:asciiTheme="minorHAnsi" w:hAnsiTheme="minorHAnsi" w:cstheme="minorHAnsi"/>
          <w:color w:val="222222"/>
          <w:sz w:val="22"/>
          <w:szCs w:val="22"/>
        </w:rPr>
        <w:t>The ODC consists of three sections:</w:t>
      </w:r>
    </w:p>
    <w:p w14:paraId="36F47CC2" w14:textId="60538C1C" w:rsidR="0059068E" w:rsidRPr="0059068E" w:rsidRDefault="00D24E7B" w:rsidP="009B39C2">
      <w:pPr>
        <w:pStyle w:val="ListBullet"/>
      </w:pPr>
      <w:r w:rsidRPr="0059068E">
        <w:rPr>
          <w:b/>
          <w:bCs/>
        </w:rPr>
        <w:t>Medicinal Cannabis Section</w:t>
      </w:r>
      <w:r w:rsidR="00F51FB5">
        <w:t xml:space="preserve"> </w:t>
      </w:r>
      <w:r w:rsidR="009C4217">
        <w:t xml:space="preserve">- </w:t>
      </w:r>
      <w:r w:rsidR="00F51FB5">
        <w:t xml:space="preserve">responsible for the assessment of applications </w:t>
      </w:r>
      <w:r w:rsidR="00A72380">
        <w:t xml:space="preserve">for licences and permits </w:t>
      </w:r>
      <w:r w:rsidR="00F51FB5">
        <w:t>relating to the cultivation, production and</w:t>
      </w:r>
      <w:r w:rsidR="00A9171E">
        <w:t>/or</w:t>
      </w:r>
      <w:r w:rsidR="00F51FB5">
        <w:t xml:space="preserve"> manufacture of medicinal cannabis</w:t>
      </w:r>
      <w:r w:rsidR="00817135">
        <w:t xml:space="preserve"> made under the </w:t>
      </w:r>
      <w:r w:rsidR="00817135">
        <w:rPr>
          <w:i/>
          <w:iCs/>
        </w:rPr>
        <w:t xml:space="preserve">Narcotic Drugs Act 1967 </w:t>
      </w:r>
      <w:r w:rsidR="00817135">
        <w:t>(the Act)</w:t>
      </w:r>
      <w:r w:rsidR="00A9171E">
        <w:t>, and for a range of administrative functions to support ODC’s regulatory activities</w:t>
      </w:r>
      <w:r w:rsidR="00F51FB5">
        <w:t>.</w:t>
      </w:r>
      <w:r w:rsidR="00A9171E">
        <w:t xml:space="preserve"> </w:t>
      </w:r>
    </w:p>
    <w:p w14:paraId="04AC1BC3" w14:textId="4C634FA7" w:rsidR="00D24E7B" w:rsidRDefault="00A64B2C" w:rsidP="009B39C2">
      <w:pPr>
        <w:pStyle w:val="ListBullet"/>
      </w:pPr>
      <w:r>
        <w:rPr>
          <w:b/>
          <w:bCs/>
        </w:rPr>
        <w:t xml:space="preserve">Narcotics Control </w:t>
      </w:r>
      <w:r w:rsidR="00D24E7B" w:rsidRPr="0059068E">
        <w:rPr>
          <w:b/>
          <w:bCs/>
        </w:rPr>
        <w:t>Section</w:t>
      </w:r>
      <w:r w:rsidR="00D24E7B">
        <w:t xml:space="preserve"> </w:t>
      </w:r>
      <w:r w:rsidR="009C4217">
        <w:t xml:space="preserve">- </w:t>
      </w:r>
      <w:r w:rsidR="00F51FB5">
        <w:t xml:space="preserve">responsible for the assessment of applications relating to the manufacture of </w:t>
      </w:r>
      <w:r w:rsidR="0064170A">
        <w:t xml:space="preserve">certain </w:t>
      </w:r>
      <w:r w:rsidR="00F51FB5">
        <w:t xml:space="preserve">narcotic drugs and the import/export of certain narcotic drugs, psychotropic substances, precursor chemicals, antibiotics and anabolic/androgenic substances. </w:t>
      </w:r>
      <w:r w:rsidR="00BB6C18">
        <w:t>The section is als</w:t>
      </w:r>
      <w:r w:rsidR="002C2FF2">
        <w:t>o</w:t>
      </w:r>
      <w:r w:rsidR="00BB6C18">
        <w:t xml:space="preserve"> r</w:t>
      </w:r>
      <w:r w:rsidR="00F51FB5">
        <w:t xml:space="preserve">esponsible for </w:t>
      </w:r>
      <w:r w:rsidR="00A72380">
        <w:t xml:space="preserve">the </w:t>
      </w:r>
      <w:r w:rsidR="00F51FB5">
        <w:t>coll</w:t>
      </w:r>
      <w:r w:rsidR="00A72380">
        <w:t>ection of</w:t>
      </w:r>
      <w:r w:rsidR="00F51FB5">
        <w:t xml:space="preserve"> data to meet Australia’s reporting obligations to the International Narcotics Control Board (INCB</w:t>
      </w:r>
      <w:r w:rsidR="0059068E">
        <w:t>)</w:t>
      </w:r>
      <w:r w:rsidR="0059452E">
        <w:t>.</w:t>
      </w:r>
    </w:p>
    <w:p w14:paraId="149F75B0" w14:textId="24C99BDA" w:rsidR="00D24E7B" w:rsidRDefault="00D24E7B" w:rsidP="009B39C2">
      <w:pPr>
        <w:pStyle w:val="ListBullet"/>
      </w:pPr>
      <w:r w:rsidRPr="0059068E">
        <w:rPr>
          <w:b/>
          <w:bCs/>
        </w:rPr>
        <w:t>Monitoring and Compliance Section</w:t>
      </w:r>
      <w:r w:rsidR="009C4217">
        <w:t xml:space="preserve"> </w:t>
      </w:r>
      <w:r w:rsidR="001A3B0E">
        <w:t>–</w:t>
      </w:r>
      <w:r w:rsidR="00F51FB5">
        <w:t xml:space="preserve"> </w:t>
      </w:r>
      <w:r w:rsidR="001A3B0E">
        <w:t>responsible</w:t>
      </w:r>
      <w:r w:rsidR="00CB65B8">
        <w:t xml:space="preserve"> for </w:t>
      </w:r>
      <w:r w:rsidR="00CB65B8" w:rsidRPr="00CB65B8">
        <w:t xml:space="preserve">ensuring the effective </w:t>
      </w:r>
      <w:r w:rsidR="00BB6C18">
        <w:t xml:space="preserve">compliance of licence and permit holders in meeting their obligations </w:t>
      </w:r>
      <w:r w:rsidR="00CB65B8" w:rsidRPr="00CB65B8">
        <w:t>under the Act</w:t>
      </w:r>
      <w:r w:rsidR="00BB6C18">
        <w:t xml:space="preserve">. </w:t>
      </w:r>
      <w:r w:rsidR="006E2C5F">
        <w:t>We use</w:t>
      </w:r>
      <w:r w:rsidR="00A72380">
        <w:t xml:space="preserve"> a range of legislative tools and engagement practices to ensure</w:t>
      </w:r>
      <w:r w:rsidR="009C4217">
        <w:t xml:space="preserve"> regulated persons</w:t>
      </w:r>
      <w:r w:rsidR="009C4217">
        <w:rPr>
          <w:rStyle w:val="FootnoteReference"/>
          <w:rFonts w:cstheme="minorHAnsi"/>
          <w:color w:val="222222"/>
        </w:rPr>
        <w:footnoteReference w:id="1"/>
      </w:r>
      <w:r w:rsidR="00F51FB5">
        <w:t xml:space="preserve"> </w:t>
      </w:r>
      <w:r w:rsidR="009C4217">
        <w:t>are complying with their legislative obligations</w:t>
      </w:r>
      <w:r w:rsidR="00675B5C">
        <w:t xml:space="preserve"> and take appropriate and proportionate actions where required</w:t>
      </w:r>
      <w:r w:rsidR="009C4217">
        <w:t xml:space="preserve">. </w:t>
      </w:r>
      <w:r w:rsidR="00A9171E">
        <w:t>We e</w:t>
      </w:r>
      <w:r w:rsidR="009C4217">
        <w:t xml:space="preserve">ngage with other areas of government at the </w:t>
      </w:r>
      <w:r w:rsidR="00A9171E">
        <w:t>s</w:t>
      </w:r>
      <w:r w:rsidR="009C4217">
        <w:t>tate</w:t>
      </w:r>
      <w:r w:rsidR="00966449">
        <w:t>,</w:t>
      </w:r>
      <w:r w:rsidR="009C4217">
        <w:t xml:space="preserve"> </w:t>
      </w:r>
      <w:r w:rsidR="00A9171E">
        <w:t>t</w:t>
      </w:r>
      <w:r w:rsidR="009C4217">
        <w:t xml:space="preserve">erritory and </w:t>
      </w:r>
      <w:r w:rsidR="00A9171E">
        <w:t>f</w:t>
      </w:r>
      <w:r w:rsidR="009C4217">
        <w:t xml:space="preserve">ederal level to exchange information and ensure that regulatory </w:t>
      </w:r>
      <w:r w:rsidR="00A72380">
        <w:t xml:space="preserve">compliance </w:t>
      </w:r>
      <w:r w:rsidR="009C4217">
        <w:t xml:space="preserve">risks are effectively managed. </w:t>
      </w:r>
    </w:p>
    <w:p w14:paraId="3ACD9595" w14:textId="5A443B43" w:rsidR="00D37A37" w:rsidRPr="00F57987" w:rsidRDefault="00675B5C" w:rsidP="00D37A37">
      <w:pPr>
        <w:pStyle w:val="NormalWeb"/>
        <w:spacing w:before="240" w:after="240"/>
        <w:rPr>
          <w:rFonts w:asciiTheme="minorHAnsi" w:hAnsiTheme="minorHAnsi" w:cstheme="minorHAnsi"/>
          <w:color w:val="222222"/>
          <w:sz w:val="22"/>
          <w:szCs w:val="22"/>
        </w:rPr>
      </w:pPr>
      <w:r>
        <w:rPr>
          <w:rFonts w:asciiTheme="minorHAnsi" w:hAnsiTheme="minorHAnsi" w:cstheme="minorHAnsi"/>
          <w:color w:val="222222"/>
          <w:sz w:val="22"/>
          <w:szCs w:val="22"/>
        </w:rPr>
        <w:t xml:space="preserve">The ODC </w:t>
      </w:r>
      <w:r w:rsidR="00D37A37" w:rsidRPr="00F57987">
        <w:rPr>
          <w:rFonts w:asciiTheme="minorHAnsi" w:hAnsiTheme="minorHAnsi" w:cstheme="minorHAnsi"/>
          <w:color w:val="222222"/>
          <w:sz w:val="22"/>
          <w:szCs w:val="22"/>
        </w:rPr>
        <w:t>work</w:t>
      </w:r>
      <w:r>
        <w:rPr>
          <w:rFonts w:asciiTheme="minorHAnsi" w:hAnsiTheme="minorHAnsi" w:cstheme="minorHAnsi"/>
          <w:color w:val="222222"/>
          <w:sz w:val="22"/>
          <w:szCs w:val="22"/>
        </w:rPr>
        <w:t>s</w:t>
      </w:r>
      <w:r w:rsidR="00D37A37" w:rsidRPr="00F57987">
        <w:rPr>
          <w:rFonts w:asciiTheme="minorHAnsi" w:hAnsiTheme="minorHAnsi" w:cstheme="minorHAnsi"/>
          <w:color w:val="222222"/>
          <w:sz w:val="22"/>
          <w:szCs w:val="22"/>
        </w:rPr>
        <w:t xml:space="preserve"> in partnership with </w:t>
      </w:r>
      <w:r w:rsidR="008B03D2">
        <w:rPr>
          <w:rFonts w:asciiTheme="minorHAnsi" w:hAnsiTheme="minorHAnsi" w:cstheme="minorHAnsi"/>
          <w:color w:val="222222"/>
          <w:sz w:val="22"/>
          <w:szCs w:val="22"/>
        </w:rPr>
        <w:t>international</w:t>
      </w:r>
      <w:r w:rsidR="000D0A1C">
        <w:rPr>
          <w:rFonts w:asciiTheme="minorHAnsi" w:hAnsiTheme="minorHAnsi" w:cstheme="minorHAnsi"/>
          <w:color w:val="222222"/>
          <w:sz w:val="22"/>
          <w:szCs w:val="22"/>
        </w:rPr>
        <w:t xml:space="preserve"> partners, </w:t>
      </w:r>
      <w:r w:rsidR="00D37A37" w:rsidRPr="00F57987">
        <w:rPr>
          <w:rFonts w:asciiTheme="minorHAnsi" w:hAnsiTheme="minorHAnsi" w:cstheme="minorHAnsi"/>
          <w:color w:val="222222"/>
          <w:sz w:val="22"/>
          <w:szCs w:val="22"/>
        </w:rPr>
        <w:t xml:space="preserve">Commonwealth, </w:t>
      </w:r>
      <w:r w:rsidR="00966449">
        <w:rPr>
          <w:rFonts w:asciiTheme="minorHAnsi" w:hAnsiTheme="minorHAnsi" w:cstheme="minorHAnsi"/>
          <w:color w:val="222222"/>
          <w:sz w:val="22"/>
          <w:szCs w:val="22"/>
        </w:rPr>
        <w:t>S</w:t>
      </w:r>
      <w:r w:rsidR="00D37A37" w:rsidRPr="00F57987">
        <w:rPr>
          <w:rFonts w:asciiTheme="minorHAnsi" w:hAnsiTheme="minorHAnsi" w:cstheme="minorHAnsi"/>
          <w:color w:val="222222"/>
          <w:sz w:val="22"/>
          <w:szCs w:val="22"/>
        </w:rPr>
        <w:t xml:space="preserve">tate and </w:t>
      </w:r>
      <w:r w:rsidR="00966449">
        <w:rPr>
          <w:rFonts w:asciiTheme="minorHAnsi" w:hAnsiTheme="minorHAnsi" w:cstheme="minorHAnsi"/>
          <w:color w:val="222222"/>
          <w:sz w:val="22"/>
          <w:szCs w:val="22"/>
        </w:rPr>
        <w:t>T</w:t>
      </w:r>
      <w:r w:rsidR="00D37A37" w:rsidRPr="00F57987">
        <w:rPr>
          <w:rFonts w:asciiTheme="minorHAnsi" w:hAnsiTheme="minorHAnsi" w:cstheme="minorHAnsi"/>
          <w:color w:val="222222"/>
          <w:sz w:val="22"/>
          <w:szCs w:val="22"/>
        </w:rPr>
        <w:t>erritory government agencies</w:t>
      </w:r>
      <w:r w:rsidR="00BB6C18">
        <w:rPr>
          <w:rFonts w:asciiTheme="minorHAnsi" w:hAnsiTheme="minorHAnsi" w:cstheme="minorHAnsi"/>
          <w:color w:val="222222"/>
          <w:sz w:val="22"/>
          <w:szCs w:val="22"/>
        </w:rPr>
        <w:t xml:space="preserve"> and</w:t>
      </w:r>
      <w:r w:rsidR="00D37A37" w:rsidRPr="00F57987">
        <w:rPr>
          <w:rFonts w:asciiTheme="minorHAnsi" w:hAnsiTheme="minorHAnsi" w:cstheme="minorHAnsi"/>
          <w:color w:val="222222"/>
          <w:sz w:val="22"/>
          <w:szCs w:val="22"/>
        </w:rPr>
        <w:t xml:space="preserve"> law enforcement at all levels. These relationships aim to maintain the integrity of the regulation of controlled drugs nationally, while increasing consistency, minimising complexity, and resolving cross-jurisdictional issues to the extent possible.</w:t>
      </w:r>
    </w:p>
    <w:p w14:paraId="7BF05AF4" w14:textId="77777777" w:rsidR="00D37A37" w:rsidRPr="00F57987" w:rsidRDefault="00D37A37" w:rsidP="009B39C2">
      <w:pPr>
        <w:pStyle w:val="NormalWeb"/>
        <w:pageBreakBefore/>
        <w:rPr>
          <w:rFonts w:asciiTheme="minorHAnsi" w:hAnsiTheme="minorHAnsi" w:cstheme="minorHAnsi"/>
          <w:color w:val="222222"/>
          <w:sz w:val="22"/>
          <w:szCs w:val="22"/>
        </w:rPr>
      </w:pPr>
      <w:r w:rsidRPr="00F57987">
        <w:rPr>
          <w:rFonts w:asciiTheme="minorHAnsi" w:hAnsiTheme="minorHAnsi" w:cstheme="minorHAnsi"/>
          <w:color w:val="222222"/>
          <w:sz w:val="22"/>
          <w:szCs w:val="22"/>
        </w:rPr>
        <w:lastRenderedPageBreak/>
        <w:t>We exercise powers conferred through the following legislation:</w:t>
      </w:r>
    </w:p>
    <w:p w14:paraId="4EDE3D13" w14:textId="01F7B829" w:rsidR="00D37A37" w:rsidRPr="00F57987" w:rsidRDefault="00BD6E98" w:rsidP="009B39C2">
      <w:pPr>
        <w:pStyle w:val="ListBullet"/>
        <w:rPr>
          <w:rFonts w:cstheme="minorHAnsi"/>
          <w:i/>
          <w:iCs/>
          <w:color w:val="222222"/>
        </w:rPr>
      </w:pPr>
      <w:hyperlink r:id="rId13" w:history="1">
        <w:r w:rsidR="00D37A37" w:rsidRPr="00F57987">
          <w:rPr>
            <w:rStyle w:val="Hyperlink"/>
            <w:rFonts w:cstheme="minorHAnsi"/>
            <w:i/>
            <w:iCs/>
          </w:rPr>
          <w:t>Narcotic Drugs Act 1967</w:t>
        </w:r>
      </w:hyperlink>
      <w:r w:rsidR="0068581D" w:rsidRPr="008272A3">
        <w:rPr>
          <w:rStyle w:val="Hyperlink"/>
          <w:rFonts w:cstheme="minorHAnsi"/>
          <w:i/>
          <w:iCs/>
          <w:color w:val="auto"/>
          <w:u w:val="none"/>
        </w:rPr>
        <w:t>;</w:t>
      </w:r>
    </w:p>
    <w:p w14:paraId="3ED9D440" w14:textId="1760A103" w:rsidR="00D37A37" w:rsidRPr="00F57987" w:rsidRDefault="00BD6E98" w:rsidP="009B39C2">
      <w:pPr>
        <w:pStyle w:val="ListBullet"/>
        <w:rPr>
          <w:rFonts w:cstheme="minorHAnsi"/>
          <w:i/>
          <w:iCs/>
          <w:color w:val="222222"/>
        </w:rPr>
      </w:pPr>
      <w:hyperlink r:id="rId14" w:history="1">
        <w:r w:rsidR="00D37A37" w:rsidRPr="00F57987">
          <w:rPr>
            <w:rStyle w:val="Hyperlink"/>
            <w:rFonts w:cstheme="minorHAnsi"/>
            <w:i/>
            <w:iCs/>
          </w:rPr>
          <w:t>Narcotic Drugs Regulation 2016</w:t>
        </w:r>
      </w:hyperlink>
      <w:r w:rsidR="0068581D" w:rsidRPr="008272A3">
        <w:rPr>
          <w:rStyle w:val="Hyperlink"/>
          <w:rFonts w:cstheme="minorHAnsi"/>
          <w:color w:val="auto"/>
          <w:u w:val="none"/>
        </w:rPr>
        <w:t>;</w:t>
      </w:r>
    </w:p>
    <w:bookmarkStart w:id="3" w:name="_Hlk112232561"/>
    <w:p w14:paraId="45B066A1" w14:textId="6BDE0545" w:rsidR="00D37A37" w:rsidRPr="00F57987" w:rsidRDefault="009F7F22" w:rsidP="009B39C2">
      <w:pPr>
        <w:pStyle w:val="ListBullet"/>
        <w:rPr>
          <w:rFonts w:cstheme="minorHAnsi"/>
          <w:i/>
          <w:iCs/>
          <w:color w:val="222222"/>
        </w:rPr>
      </w:pPr>
      <w:r>
        <w:rPr>
          <w:rFonts w:ascii="Times New Roman" w:hAnsi="Times New Roman" w:cs="Times New Roman"/>
          <w:color w:val="000000" w:themeColor="text1"/>
          <w:sz w:val="24"/>
          <w:szCs w:val="24"/>
        </w:rPr>
        <w:fldChar w:fldCharType="begin"/>
      </w:r>
      <w:r>
        <w:instrText xml:space="preserve"> HYPERLINK "https://www.legislation.gov.au/Series/F1996B03651" </w:instrText>
      </w:r>
      <w:r>
        <w:rPr>
          <w:rFonts w:ascii="Times New Roman" w:hAnsi="Times New Roman" w:cs="Times New Roman"/>
          <w:color w:val="000000" w:themeColor="text1"/>
          <w:sz w:val="24"/>
          <w:szCs w:val="24"/>
        </w:rPr>
        <w:fldChar w:fldCharType="separate"/>
      </w:r>
      <w:r w:rsidR="00D37A37" w:rsidRPr="00F57987">
        <w:rPr>
          <w:rStyle w:val="Hyperlink"/>
          <w:rFonts w:cstheme="minorHAnsi"/>
          <w:i/>
          <w:iCs/>
        </w:rPr>
        <w:t>Customs (Prohibited Imports) Regulations 1956</w:t>
      </w:r>
      <w:r>
        <w:rPr>
          <w:rStyle w:val="Hyperlink"/>
          <w:rFonts w:cstheme="minorHAnsi"/>
          <w:i/>
          <w:iCs/>
        </w:rPr>
        <w:fldChar w:fldCharType="end"/>
      </w:r>
      <w:r w:rsidR="0068581D" w:rsidRPr="008272A3">
        <w:rPr>
          <w:rStyle w:val="Hyperlink"/>
          <w:rFonts w:cstheme="minorHAnsi"/>
          <w:color w:val="auto"/>
          <w:u w:val="none"/>
        </w:rPr>
        <w:t>; and</w:t>
      </w:r>
    </w:p>
    <w:p w14:paraId="1B5DFDFD" w14:textId="77777777" w:rsidR="00D37A37" w:rsidRPr="00F57987" w:rsidRDefault="00BD6E98" w:rsidP="009B39C2">
      <w:pPr>
        <w:pStyle w:val="ListBullet"/>
        <w:rPr>
          <w:rFonts w:cstheme="minorHAnsi"/>
          <w:i/>
          <w:iCs/>
          <w:color w:val="222222"/>
        </w:rPr>
      </w:pPr>
      <w:hyperlink r:id="rId15" w:history="1">
        <w:r w:rsidR="00D37A37" w:rsidRPr="00F57987">
          <w:rPr>
            <w:rStyle w:val="Hyperlink"/>
            <w:rFonts w:cstheme="minorHAnsi"/>
            <w:i/>
            <w:iCs/>
          </w:rPr>
          <w:t>Customs (Prohibited Exports) Regulations 1958</w:t>
        </w:r>
        <w:r w:rsidR="00D37A37" w:rsidRPr="008272A3">
          <w:rPr>
            <w:rStyle w:val="Hyperlink"/>
            <w:rFonts w:cstheme="minorHAnsi"/>
            <w:color w:val="auto"/>
            <w:u w:val="none"/>
          </w:rPr>
          <w:t>.</w:t>
        </w:r>
      </w:hyperlink>
    </w:p>
    <w:bookmarkEnd w:id="3"/>
    <w:p w14:paraId="5B9DC955" w14:textId="18602DDA" w:rsidR="00D37A37" w:rsidRPr="00DE7790" w:rsidRDefault="00A64B2C" w:rsidP="00D37A37">
      <w:pPr>
        <w:rPr>
          <w:rFonts w:eastAsia="Times New Roman" w:cstheme="minorHAnsi"/>
          <w:color w:val="222222"/>
          <w:lang w:eastAsia="en-AU"/>
        </w:rPr>
      </w:pPr>
      <w:r w:rsidRPr="0065455E">
        <w:rPr>
          <w:rFonts w:eastAsia="Times New Roman" w:cstheme="minorHAnsi"/>
          <w:color w:val="222222"/>
          <w:lang w:eastAsia="en-AU"/>
        </w:rPr>
        <w:t xml:space="preserve">This </w:t>
      </w:r>
      <w:r w:rsidR="00D37A37" w:rsidRPr="0065455E">
        <w:rPr>
          <w:rFonts w:eastAsia="Times New Roman" w:cstheme="minorHAnsi"/>
          <w:color w:val="222222"/>
          <w:lang w:eastAsia="en-AU"/>
        </w:rPr>
        <w:t>Framework</w:t>
      </w:r>
      <w:r w:rsidRPr="0065455E">
        <w:rPr>
          <w:rFonts w:eastAsia="Times New Roman" w:cstheme="minorHAnsi"/>
          <w:color w:val="222222"/>
          <w:lang w:eastAsia="en-AU"/>
        </w:rPr>
        <w:t>, the first to be published by the ODC,</w:t>
      </w:r>
      <w:r w:rsidR="00A14568" w:rsidRPr="0065455E">
        <w:rPr>
          <w:rFonts w:eastAsia="Times New Roman" w:cstheme="minorHAnsi"/>
          <w:color w:val="222222"/>
          <w:lang w:eastAsia="en-AU"/>
        </w:rPr>
        <w:t xml:space="preserve"> is intended to assist persons to understand their obligations, and the regulatory and administrative tools the ODC uses </w:t>
      </w:r>
      <w:r w:rsidR="00781EAF">
        <w:rPr>
          <w:rFonts w:eastAsia="Times New Roman" w:cstheme="minorHAnsi"/>
          <w:color w:val="222222"/>
          <w:lang w:eastAsia="en-AU"/>
        </w:rPr>
        <w:t xml:space="preserve">to </w:t>
      </w:r>
      <w:r w:rsidR="00BB6C18">
        <w:rPr>
          <w:rFonts w:eastAsia="Times New Roman" w:cstheme="minorHAnsi"/>
          <w:color w:val="222222"/>
          <w:lang w:eastAsia="en-AU"/>
        </w:rPr>
        <w:t xml:space="preserve">ensure their compliance under the Act, including </w:t>
      </w:r>
      <w:r w:rsidR="00A14568" w:rsidRPr="0065455E">
        <w:rPr>
          <w:rFonts w:eastAsia="Times New Roman" w:cstheme="minorHAnsi"/>
          <w:color w:val="222222"/>
          <w:lang w:eastAsia="en-AU"/>
        </w:rPr>
        <w:t xml:space="preserve">to mitigate the risk of diversion to illicit supply and use. It </w:t>
      </w:r>
      <w:r w:rsidR="00D37A37" w:rsidRPr="00DE7790">
        <w:rPr>
          <w:rFonts w:eastAsia="Times New Roman" w:cstheme="minorHAnsi"/>
          <w:color w:val="222222"/>
          <w:lang w:eastAsia="en-AU"/>
        </w:rPr>
        <w:t xml:space="preserve">illustrates how </w:t>
      </w:r>
      <w:r w:rsidRPr="00DE7790">
        <w:rPr>
          <w:rFonts w:eastAsia="Times New Roman" w:cstheme="minorHAnsi"/>
          <w:color w:val="222222"/>
          <w:lang w:eastAsia="en-AU"/>
        </w:rPr>
        <w:t>we</w:t>
      </w:r>
      <w:r w:rsidR="00D37A37" w:rsidRPr="00DE7790">
        <w:rPr>
          <w:rFonts w:eastAsia="Times New Roman" w:cstheme="minorHAnsi"/>
          <w:color w:val="222222"/>
          <w:lang w:eastAsia="en-AU"/>
        </w:rPr>
        <w:t xml:space="preserve"> appl</w:t>
      </w:r>
      <w:r w:rsidRPr="00DE7790">
        <w:rPr>
          <w:rFonts w:eastAsia="Times New Roman" w:cstheme="minorHAnsi"/>
          <w:color w:val="222222"/>
          <w:lang w:eastAsia="en-AU"/>
        </w:rPr>
        <w:t>y</w:t>
      </w:r>
      <w:r w:rsidR="00D37A37" w:rsidRPr="00DE7790">
        <w:rPr>
          <w:rFonts w:eastAsia="Times New Roman" w:cstheme="minorHAnsi"/>
          <w:color w:val="222222"/>
          <w:lang w:eastAsia="en-AU"/>
        </w:rPr>
        <w:t xml:space="preserve"> </w:t>
      </w:r>
      <w:r w:rsidR="00A14568" w:rsidRPr="00DE7790">
        <w:rPr>
          <w:rFonts w:eastAsia="Times New Roman" w:cstheme="minorHAnsi"/>
          <w:color w:val="222222"/>
          <w:lang w:eastAsia="en-AU"/>
        </w:rPr>
        <w:t xml:space="preserve">a </w:t>
      </w:r>
      <w:r w:rsidR="00045FC0" w:rsidRPr="00DE7790">
        <w:rPr>
          <w:rFonts w:eastAsia="Times New Roman" w:cstheme="minorHAnsi"/>
          <w:color w:val="222222"/>
          <w:lang w:eastAsia="en-AU"/>
        </w:rPr>
        <w:t>risk-based</w:t>
      </w:r>
      <w:r w:rsidR="00A14568" w:rsidRPr="00DE7790">
        <w:rPr>
          <w:rFonts w:eastAsia="Times New Roman" w:cstheme="minorHAnsi"/>
          <w:color w:val="222222"/>
          <w:lang w:eastAsia="en-AU"/>
        </w:rPr>
        <w:t xml:space="preserve"> approach to </w:t>
      </w:r>
      <w:r w:rsidR="00D37A37" w:rsidRPr="00DE7790">
        <w:rPr>
          <w:rFonts w:eastAsia="Times New Roman" w:cstheme="minorHAnsi"/>
          <w:color w:val="222222"/>
          <w:lang w:eastAsia="en-AU"/>
        </w:rPr>
        <w:t xml:space="preserve">compliance and enforcement options </w:t>
      </w:r>
      <w:r w:rsidR="00781EAF">
        <w:rPr>
          <w:rFonts w:eastAsia="Times New Roman" w:cstheme="minorHAnsi"/>
          <w:color w:val="222222"/>
          <w:lang w:eastAsia="en-AU"/>
        </w:rPr>
        <w:t>for</w:t>
      </w:r>
      <w:r w:rsidR="00781EAF" w:rsidRPr="00DE7790">
        <w:rPr>
          <w:rFonts w:eastAsia="Times New Roman" w:cstheme="minorHAnsi"/>
          <w:color w:val="222222"/>
          <w:lang w:eastAsia="en-AU"/>
        </w:rPr>
        <w:t xml:space="preserve"> </w:t>
      </w:r>
      <w:r w:rsidR="00D37A37" w:rsidRPr="00DE7790">
        <w:rPr>
          <w:rFonts w:eastAsia="Times New Roman" w:cstheme="minorHAnsi"/>
          <w:color w:val="222222"/>
          <w:lang w:eastAsia="en-AU"/>
        </w:rPr>
        <w:t xml:space="preserve">activities undertaken by narcotic drug industries in Australia. </w:t>
      </w:r>
    </w:p>
    <w:p w14:paraId="4F41AE39" w14:textId="112D9DDB" w:rsidR="00D37A37" w:rsidRPr="00F57987" w:rsidRDefault="00D37A37" w:rsidP="00D37A37">
      <w:pPr>
        <w:pStyle w:val="Paragraphtext"/>
        <w:rPr>
          <w:rFonts w:asciiTheme="minorHAnsi" w:hAnsiTheme="minorHAnsi" w:cstheme="minorHAnsi"/>
          <w:b/>
          <w:bCs/>
          <w:sz w:val="22"/>
          <w:szCs w:val="22"/>
        </w:rPr>
      </w:pPr>
      <w:r w:rsidRPr="00F57987">
        <w:rPr>
          <w:rFonts w:asciiTheme="minorHAnsi" w:hAnsiTheme="minorHAnsi" w:cstheme="minorHAnsi"/>
          <w:sz w:val="22"/>
          <w:szCs w:val="22"/>
        </w:rPr>
        <w:t>In particular, the Framework outlines how the ODC will engage the following integrated compliance strategies:</w:t>
      </w:r>
    </w:p>
    <w:p w14:paraId="25C5B393" w14:textId="40FB4B47" w:rsidR="00D37A37" w:rsidRPr="00F57987" w:rsidRDefault="00D37A37" w:rsidP="009B39C2">
      <w:pPr>
        <w:pStyle w:val="ListBullet"/>
        <w:rPr>
          <w:b/>
          <w:bCs/>
        </w:rPr>
      </w:pPr>
      <w:r w:rsidRPr="00F57987">
        <w:t xml:space="preserve">encourage compliance by educating and informing </w:t>
      </w:r>
      <w:r w:rsidR="00EA6D73">
        <w:t>persons</w:t>
      </w:r>
      <w:r w:rsidRPr="00F57987">
        <w:t xml:space="preserve"> about their </w:t>
      </w:r>
      <w:r w:rsidR="00675B5C" w:rsidRPr="00F57987">
        <w:t>responsibilities</w:t>
      </w:r>
      <w:r w:rsidR="00675B5C">
        <w:t>;</w:t>
      </w:r>
    </w:p>
    <w:p w14:paraId="2C86D356" w14:textId="47B57FCC" w:rsidR="00D37A37" w:rsidRPr="00F57987" w:rsidRDefault="00D37A37" w:rsidP="009B39C2">
      <w:pPr>
        <w:pStyle w:val="ListBullet"/>
        <w:rPr>
          <w:b/>
          <w:bCs/>
        </w:rPr>
      </w:pPr>
      <w:r w:rsidRPr="00F57987">
        <w:t xml:space="preserve">analyse emerging risks to identify any need to </w:t>
      </w:r>
      <w:r w:rsidR="00BB6C18">
        <w:t>adjust our</w:t>
      </w:r>
      <w:r w:rsidR="00BB6C18" w:rsidRPr="00F57987">
        <w:t xml:space="preserve"> </w:t>
      </w:r>
      <w:r w:rsidRPr="00F57987">
        <w:t xml:space="preserve">compliance and enforcement </w:t>
      </w:r>
      <w:r w:rsidR="00BB6C18">
        <w:t xml:space="preserve">focus and </w:t>
      </w:r>
      <w:r w:rsidRPr="00F57987">
        <w:t>resources</w:t>
      </w:r>
      <w:r w:rsidR="0068581D">
        <w:t>;</w:t>
      </w:r>
    </w:p>
    <w:p w14:paraId="4B666847" w14:textId="63011EB8" w:rsidR="00D37A37" w:rsidRPr="00F57987" w:rsidRDefault="00D37A37" w:rsidP="009B39C2">
      <w:pPr>
        <w:pStyle w:val="ListBullet"/>
        <w:rPr>
          <w:b/>
          <w:bCs/>
        </w:rPr>
      </w:pPr>
      <w:r w:rsidRPr="00F57987">
        <w:t>manage identified non-compliance, using administrative action or formal enforcement proceedings where necessary and appropriate</w:t>
      </w:r>
      <w:r w:rsidR="0068581D">
        <w:t>; and</w:t>
      </w:r>
    </w:p>
    <w:p w14:paraId="48D9B270" w14:textId="254A326D" w:rsidR="008B03D2" w:rsidRPr="009B39C2" w:rsidRDefault="00D37A37" w:rsidP="009B39C2">
      <w:pPr>
        <w:pStyle w:val="ListBullet"/>
        <w:rPr>
          <w:b/>
          <w:bCs/>
        </w:rPr>
      </w:pPr>
      <w:r w:rsidRPr="00F57987">
        <w:t>work with other agencies to coordinate compliance approaches and refer potential offences that are outside the ODC’s remit.</w:t>
      </w:r>
    </w:p>
    <w:p w14:paraId="0E4AAB49" w14:textId="2A7D58B0" w:rsidR="00D37A37" w:rsidRPr="009B39C2" w:rsidRDefault="00D37A37" w:rsidP="00D37A37">
      <w:pPr>
        <w:spacing w:after="160"/>
        <w:rPr>
          <w:rFonts w:cstheme="minorHAnsi"/>
        </w:rPr>
      </w:pPr>
      <w:r w:rsidRPr="00F57987">
        <w:rPr>
          <w:rFonts w:cstheme="minorHAnsi"/>
        </w:rPr>
        <w:t xml:space="preserve">The Framework is consistent with, and provides further detail on key aspects of, the ODC publication </w:t>
      </w:r>
      <w:hyperlink r:id="rId16" w:history="1">
        <w:r w:rsidRPr="00F57987">
          <w:rPr>
            <w:rStyle w:val="Hyperlink"/>
            <w:rFonts w:cstheme="minorHAnsi"/>
            <w:i/>
            <w:iCs/>
          </w:rPr>
          <w:t>Risk management approach to the cultivation, production, and manufacture of medicinal cannabis</w:t>
        </w:r>
      </w:hyperlink>
      <w:r w:rsidRPr="00F57987">
        <w:rPr>
          <w:rFonts w:cstheme="minorHAnsi"/>
        </w:rPr>
        <w:t xml:space="preserve">, available at </w:t>
      </w:r>
      <w:hyperlink r:id="rId17" w:history="1">
        <w:r w:rsidRPr="00F57987">
          <w:rPr>
            <w:rStyle w:val="Hyperlink"/>
            <w:rFonts w:cstheme="minorHAnsi"/>
          </w:rPr>
          <w:t>www.odc.gov.au</w:t>
        </w:r>
      </w:hyperlink>
      <w:r w:rsidRPr="00F57987">
        <w:rPr>
          <w:rFonts w:cstheme="minorHAnsi"/>
        </w:rPr>
        <w:t xml:space="preserve">. </w:t>
      </w:r>
    </w:p>
    <w:p w14:paraId="670C1884" w14:textId="77777777" w:rsidR="009F7F22" w:rsidRDefault="009F7F22">
      <w:pPr>
        <w:rPr>
          <w:rFonts w:ascii="Arial" w:eastAsia="Times New Roman" w:hAnsi="Arial" w:cs="Arial"/>
          <w:bCs/>
          <w:iCs/>
          <w:color w:val="358189"/>
          <w:sz w:val="32"/>
          <w:szCs w:val="28"/>
        </w:rPr>
      </w:pPr>
      <w:bookmarkStart w:id="4" w:name="_Toc111825246"/>
      <w:r>
        <w:br w:type="page"/>
      </w:r>
    </w:p>
    <w:p w14:paraId="636D1BB6" w14:textId="030EBA42" w:rsidR="00D37A37" w:rsidRPr="00F57987" w:rsidRDefault="00D37A37" w:rsidP="00D37A37">
      <w:pPr>
        <w:pStyle w:val="Heading2"/>
        <w:spacing w:after="240"/>
      </w:pPr>
      <w:bookmarkStart w:id="5" w:name="_Toc125715061"/>
      <w:r w:rsidRPr="00F57987">
        <w:lastRenderedPageBreak/>
        <w:t>2. Legislative requirements</w:t>
      </w:r>
      <w:bookmarkEnd w:id="4"/>
      <w:bookmarkEnd w:id="5"/>
    </w:p>
    <w:p w14:paraId="6BCD0283" w14:textId="72208750" w:rsidR="00D37A37" w:rsidRPr="00F57987" w:rsidRDefault="00A14568" w:rsidP="00D37A37">
      <w:pPr>
        <w:rPr>
          <w:rFonts w:cstheme="minorHAnsi"/>
          <w:b/>
          <w:bCs/>
          <w:color w:val="202124"/>
          <w:shd w:val="clear" w:color="auto" w:fill="FFFFFF"/>
        </w:rPr>
      </w:pPr>
      <w:r w:rsidRPr="00DE7790">
        <w:rPr>
          <w:rFonts w:cstheme="minorHAnsi"/>
        </w:rPr>
        <w:t xml:space="preserve">Regulated </w:t>
      </w:r>
      <w:r w:rsidR="00045FC0" w:rsidRPr="00DE7790">
        <w:rPr>
          <w:rFonts w:cstheme="minorHAnsi"/>
        </w:rPr>
        <w:t>persons</w:t>
      </w:r>
      <w:r w:rsidRPr="00DE7790">
        <w:rPr>
          <w:rFonts w:cstheme="minorHAnsi"/>
        </w:rPr>
        <w:t xml:space="preserve"> are responsible for understanding their obligations for </w:t>
      </w:r>
      <w:r w:rsidR="009B2B99">
        <w:rPr>
          <w:rFonts w:cstheme="minorHAnsi"/>
        </w:rPr>
        <w:t xml:space="preserve">import, export, </w:t>
      </w:r>
      <w:r w:rsidRPr="00DE7790">
        <w:rPr>
          <w:rFonts w:cstheme="minorHAnsi"/>
        </w:rPr>
        <w:t xml:space="preserve">cultivation, production and the manufacture of </w:t>
      </w:r>
      <w:r w:rsidR="00781EAF">
        <w:rPr>
          <w:rFonts w:cstheme="minorHAnsi"/>
        </w:rPr>
        <w:t>n</w:t>
      </w:r>
      <w:r w:rsidRPr="00DE7790">
        <w:rPr>
          <w:rFonts w:cstheme="minorHAnsi"/>
        </w:rPr>
        <w:t xml:space="preserve">arcotic </w:t>
      </w:r>
      <w:r w:rsidR="00781EAF">
        <w:rPr>
          <w:rFonts w:cstheme="minorHAnsi"/>
        </w:rPr>
        <w:t>d</w:t>
      </w:r>
      <w:r w:rsidRPr="00DE7790">
        <w:rPr>
          <w:rFonts w:cstheme="minorHAnsi"/>
        </w:rPr>
        <w:t xml:space="preserve">rugs. </w:t>
      </w:r>
      <w:r w:rsidR="00D37A37" w:rsidRPr="00F57987" w:rsidDel="00EA6CE1">
        <w:rPr>
          <w:rFonts w:cstheme="minorHAnsi"/>
        </w:rPr>
        <w:t xml:space="preserve">The </w:t>
      </w:r>
      <w:hyperlink r:id="rId18" w:history="1">
        <w:r w:rsidR="00D37A37" w:rsidRPr="00F57987" w:rsidDel="00EA6CE1">
          <w:rPr>
            <w:rStyle w:val="Hyperlink"/>
            <w:rFonts w:cstheme="minorHAnsi"/>
            <w:i/>
            <w:iCs/>
          </w:rPr>
          <w:t>Narcotic Drug</w:t>
        </w:r>
        <w:r w:rsidR="00D37A37" w:rsidRPr="00F57987">
          <w:rPr>
            <w:rStyle w:val="Hyperlink"/>
            <w:rFonts w:cstheme="minorHAnsi"/>
            <w:i/>
            <w:iCs/>
          </w:rPr>
          <w:t>s</w:t>
        </w:r>
        <w:r w:rsidR="00D37A37" w:rsidRPr="00F57987" w:rsidDel="00EA6CE1">
          <w:rPr>
            <w:rStyle w:val="Hyperlink"/>
            <w:rFonts w:cstheme="minorHAnsi"/>
            <w:i/>
            <w:iCs/>
          </w:rPr>
          <w:t xml:space="preserve"> Act 1967</w:t>
        </w:r>
      </w:hyperlink>
      <w:r w:rsidR="00D37A37" w:rsidRPr="00F57987" w:rsidDel="00EA6CE1">
        <w:rPr>
          <w:rFonts w:cstheme="minorHAnsi"/>
        </w:rPr>
        <w:t xml:space="preserve"> </w:t>
      </w:r>
      <w:r w:rsidR="00531DCD">
        <w:rPr>
          <w:rFonts w:cstheme="minorHAnsi"/>
        </w:rPr>
        <w:t xml:space="preserve">(the Act) </w:t>
      </w:r>
      <w:r w:rsidR="00D37A37" w:rsidRPr="00F57987">
        <w:rPr>
          <w:rFonts w:cstheme="minorHAnsi"/>
        </w:rPr>
        <w:t xml:space="preserve">gives effect to Australia’s obligations under the </w:t>
      </w:r>
      <w:hyperlink r:id="rId19" w:history="1">
        <w:r w:rsidR="00D37A37" w:rsidRPr="00F57987">
          <w:rPr>
            <w:rStyle w:val="Hyperlink"/>
            <w:rFonts w:cstheme="minorHAnsi"/>
            <w:i/>
            <w:iCs/>
          </w:rPr>
          <w:t>Single Convention on Narcotic Drugs of 1961</w:t>
        </w:r>
      </w:hyperlink>
      <w:r w:rsidR="00D37A37" w:rsidRPr="00F57987">
        <w:rPr>
          <w:rFonts w:cstheme="minorHAnsi"/>
        </w:rPr>
        <w:t xml:space="preserve"> (the </w:t>
      </w:r>
      <w:r w:rsidR="00781EAF">
        <w:rPr>
          <w:rFonts w:cstheme="minorHAnsi"/>
        </w:rPr>
        <w:t xml:space="preserve">Single </w:t>
      </w:r>
      <w:r w:rsidR="00D37A37" w:rsidRPr="00F57987">
        <w:rPr>
          <w:rFonts w:cstheme="minorHAnsi"/>
        </w:rPr>
        <w:t xml:space="preserve">Convention) (as amended by the 1972 Protocol) and provides </w:t>
      </w:r>
      <w:r w:rsidR="00D37A37" w:rsidRPr="00F57987">
        <w:rPr>
          <w:rFonts w:cstheme="minorHAnsi"/>
          <w:color w:val="202124"/>
          <w:shd w:val="clear" w:color="auto" w:fill="FFFFFF"/>
        </w:rPr>
        <w:t>a regulatory framework for:</w:t>
      </w:r>
    </w:p>
    <w:p w14:paraId="32E63CEC" w14:textId="18F47EC4" w:rsidR="00D37A37" w:rsidRPr="0065455E" w:rsidRDefault="00D37A37" w:rsidP="009B39C2">
      <w:pPr>
        <w:pStyle w:val="ListBullet"/>
      </w:pPr>
      <w:r w:rsidRPr="0065455E">
        <w:t>the cultivation of cannabis plants, the production of cannabis and cannabis resin, the manufacture of cannabis drugs, and related activities</w:t>
      </w:r>
      <w:r w:rsidR="008F24D8">
        <w:t>; and</w:t>
      </w:r>
    </w:p>
    <w:p w14:paraId="5489DEC9" w14:textId="77090A1F" w:rsidR="00A8452D" w:rsidRPr="0065455E" w:rsidRDefault="00D37A37" w:rsidP="009B39C2">
      <w:pPr>
        <w:pStyle w:val="ListBullet"/>
      </w:pPr>
      <w:r w:rsidRPr="0065455E">
        <w:t>the manufacture of other</w:t>
      </w:r>
      <w:r w:rsidR="00CD5EF9" w:rsidRPr="0065455E">
        <w:t xml:space="preserve"> narcotic</w:t>
      </w:r>
      <w:r w:rsidRPr="0065455E">
        <w:t xml:space="preserve"> drugs as covered by </w:t>
      </w:r>
      <w:hyperlink r:id="rId20" w:history="1">
        <w:r w:rsidRPr="0065455E">
          <w:t xml:space="preserve">the </w:t>
        </w:r>
        <w:r w:rsidR="00781EAF">
          <w:t xml:space="preserve">Single </w:t>
        </w:r>
        <w:r w:rsidRPr="0065455E">
          <w:t>Convention</w:t>
        </w:r>
      </w:hyperlink>
      <w:r w:rsidR="008B03D2">
        <w:t>;</w:t>
      </w:r>
    </w:p>
    <w:p w14:paraId="667F3DA6" w14:textId="43FA703C" w:rsidR="008B03D2" w:rsidRDefault="008B03D2" w:rsidP="009B39C2">
      <w:pPr>
        <w:pStyle w:val="ListBullet"/>
      </w:pPr>
      <w:r>
        <w:t>the import, export and supply of narcotic drugs.</w:t>
      </w:r>
    </w:p>
    <w:p w14:paraId="12D0BE0F" w14:textId="77777777" w:rsidR="00A8452D" w:rsidRPr="0065455E" w:rsidRDefault="00A8452D" w:rsidP="0065455E">
      <w:pPr>
        <w:pStyle w:val="Paragraphtext"/>
        <w:ind w:left="1080"/>
        <w:rPr>
          <w:rFonts w:asciiTheme="minorHAnsi" w:hAnsiTheme="minorHAnsi" w:cstheme="minorHAnsi"/>
          <w:sz w:val="22"/>
          <w:szCs w:val="22"/>
        </w:rPr>
      </w:pPr>
    </w:p>
    <w:p w14:paraId="2C44C951" w14:textId="64F3F7DB" w:rsidR="00D24E7B" w:rsidRPr="00A8452D" w:rsidRDefault="00D24E7B" w:rsidP="00A8452D">
      <w:pPr>
        <w:rPr>
          <w:rFonts w:cstheme="minorHAnsi"/>
          <w:b/>
          <w:bCs/>
          <w:color w:val="202124"/>
          <w:shd w:val="clear" w:color="auto" w:fill="FFFFFF"/>
        </w:rPr>
      </w:pPr>
      <w:r w:rsidRPr="00A8452D">
        <w:rPr>
          <w:rFonts w:cstheme="minorHAnsi"/>
          <w:color w:val="202124"/>
          <w:shd w:val="clear" w:color="auto" w:fill="FFFFFF"/>
        </w:rPr>
        <w:t xml:space="preserve">The </w:t>
      </w:r>
      <w:hyperlink r:id="rId21" w:history="1">
        <w:r w:rsidRPr="00A8452D">
          <w:rPr>
            <w:rStyle w:val="Hyperlink"/>
            <w:rFonts w:cstheme="minorHAnsi"/>
            <w:i/>
            <w:iCs/>
            <w:shd w:val="clear" w:color="auto" w:fill="FFFFFF"/>
          </w:rPr>
          <w:t>Customs Act 1901</w:t>
        </w:r>
      </w:hyperlink>
      <w:r w:rsidRPr="00A8452D">
        <w:rPr>
          <w:rFonts w:cstheme="minorHAnsi"/>
          <w:color w:val="202124"/>
          <w:shd w:val="clear" w:color="auto" w:fill="FFFFFF"/>
        </w:rPr>
        <w:t xml:space="preserve"> (Customs Act)</w:t>
      </w:r>
      <w:r w:rsidR="00A8452D" w:rsidRPr="00A8452D">
        <w:rPr>
          <w:rFonts w:cstheme="minorHAnsi"/>
          <w:color w:val="202124"/>
          <w:shd w:val="clear" w:color="auto" w:fill="FFFFFF"/>
        </w:rPr>
        <w:t xml:space="preserve"> is the legislative authority that sets out the customs requirements for the importation and exportation of goods to and from Australia. The </w:t>
      </w:r>
      <w:hyperlink r:id="rId22" w:history="1">
        <w:r w:rsidR="00A8452D" w:rsidRPr="00A8452D">
          <w:rPr>
            <w:rStyle w:val="Hyperlink"/>
            <w:rFonts w:cstheme="minorHAnsi"/>
            <w:i/>
            <w:iCs/>
            <w:shd w:val="clear" w:color="auto" w:fill="FFFFFF"/>
          </w:rPr>
          <w:t>Customs (Prohibited Imports) Regulations 1956</w:t>
        </w:r>
      </w:hyperlink>
      <w:r w:rsidR="00A8452D" w:rsidRPr="00A8452D">
        <w:rPr>
          <w:rFonts w:cstheme="minorHAnsi"/>
          <w:color w:val="202124"/>
          <w:shd w:val="clear" w:color="auto" w:fill="FFFFFF"/>
        </w:rPr>
        <w:t xml:space="preserve"> and </w:t>
      </w:r>
      <w:hyperlink r:id="rId23" w:history="1">
        <w:r w:rsidR="00A8452D" w:rsidRPr="00A8452D">
          <w:rPr>
            <w:rStyle w:val="Hyperlink"/>
            <w:rFonts w:cstheme="minorHAnsi"/>
            <w:i/>
            <w:iCs/>
            <w:shd w:val="clear" w:color="auto" w:fill="FFFFFF"/>
          </w:rPr>
          <w:t>Customs (Prohibited Exports) Regulations 1958</w:t>
        </w:r>
      </w:hyperlink>
      <w:r w:rsidR="00A8452D" w:rsidRPr="00A8452D">
        <w:rPr>
          <w:rFonts w:cstheme="minorHAnsi"/>
          <w:color w:val="202124"/>
          <w:shd w:val="clear" w:color="auto" w:fill="FFFFFF"/>
        </w:rPr>
        <w:t xml:space="preserve"> further </w:t>
      </w:r>
      <w:r w:rsidR="009C4217">
        <w:rPr>
          <w:rFonts w:cstheme="minorHAnsi"/>
          <w:color w:val="202124"/>
          <w:shd w:val="clear" w:color="auto" w:fill="FFFFFF"/>
        </w:rPr>
        <w:t>outline</w:t>
      </w:r>
      <w:r w:rsidR="00A8452D" w:rsidRPr="00A8452D">
        <w:rPr>
          <w:rFonts w:cstheme="minorHAnsi"/>
          <w:color w:val="202124"/>
          <w:shd w:val="clear" w:color="auto" w:fill="FFFFFF"/>
        </w:rPr>
        <w:t xml:space="preserve"> requirements and restrictions.</w:t>
      </w:r>
    </w:p>
    <w:p w14:paraId="1829F4EB" w14:textId="77777777" w:rsidR="00D37A37" w:rsidRPr="00F57987" w:rsidRDefault="00D37A37" w:rsidP="00D37A37">
      <w:pPr>
        <w:rPr>
          <w:rFonts w:cstheme="minorHAnsi"/>
        </w:rPr>
      </w:pPr>
      <w:r w:rsidRPr="00F57987" w:rsidDel="00EA6CE1">
        <w:rPr>
          <w:rFonts w:cstheme="minorHAnsi"/>
        </w:rPr>
        <w:t xml:space="preserve">Additional </w:t>
      </w:r>
      <w:r w:rsidRPr="00F57987">
        <w:rPr>
          <w:rFonts w:cstheme="minorHAnsi"/>
        </w:rPr>
        <w:t>legislative requirements</w:t>
      </w:r>
      <w:r w:rsidRPr="00F57987" w:rsidDel="00EA6CE1">
        <w:rPr>
          <w:rFonts w:cstheme="minorHAnsi"/>
        </w:rPr>
        <w:t xml:space="preserve"> also apply as set out in:</w:t>
      </w:r>
    </w:p>
    <w:p w14:paraId="190F2DDB" w14:textId="30B263A1" w:rsidR="00D37A37" w:rsidRPr="009B39C2" w:rsidRDefault="00BD6E98" w:rsidP="00DD4FAE">
      <w:pPr>
        <w:pStyle w:val="ListBullet"/>
        <w:rPr>
          <w:shd w:val="clear" w:color="auto" w:fill="FFFFFF"/>
        </w:rPr>
      </w:pPr>
      <w:hyperlink r:id="rId24" w:history="1">
        <w:r w:rsidR="00D37A37" w:rsidRPr="009B39C2">
          <w:rPr>
            <w:rStyle w:val="Hyperlink"/>
            <w:rFonts w:cstheme="minorHAnsi"/>
            <w:i/>
            <w:iCs/>
          </w:rPr>
          <w:t>Narcotic Drugs Regulation 2016</w:t>
        </w:r>
      </w:hyperlink>
      <w:r w:rsidR="00D37A37" w:rsidRPr="00F916B6">
        <w:t xml:space="preserve"> </w:t>
      </w:r>
      <w:r w:rsidR="009B39C2">
        <w:br/>
      </w:r>
      <w:r w:rsidR="00D37A37" w:rsidRPr="009B39C2">
        <w:rPr>
          <w:shd w:val="clear" w:color="auto" w:fill="FFFFFF"/>
        </w:rPr>
        <w:t xml:space="preserve">The Regulation is an instrument made under the Act and supports the regulatory framework therein. </w:t>
      </w:r>
    </w:p>
    <w:p w14:paraId="3383CDE5" w14:textId="4664B7DB" w:rsidR="00D37A37" w:rsidRPr="00F57987" w:rsidRDefault="00BD6E98" w:rsidP="00AB296B">
      <w:pPr>
        <w:pStyle w:val="ListBullet"/>
      </w:pPr>
      <w:hyperlink r:id="rId25" w:history="1">
        <w:r w:rsidR="00D37A37" w:rsidRPr="009B39C2">
          <w:rPr>
            <w:rStyle w:val="Hyperlink"/>
            <w:rFonts w:cstheme="minorHAnsi"/>
            <w:i/>
            <w:iCs/>
          </w:rPr>
          <w:t>Narcotic Drugs (Licence Charges) Act 2016</w:t>
        </w:r>
      </w:hyperlink>
      <w:r w:rsidR="009B39C2" w:rsidRPr="009B39C2">
        <w:rPr>
          <w:rStyle w:val="Hyperlink"/>
          <w:rFonts w:cstheme="minorHAnsi"/>
          <w:i/>
          <w:iCs/>
        </w:rPr>
        <w:br/>
      </w:r>
      <w:r w:rsidR="00D37A37" w:rsidRPr="00F57987">
        <w:t xml:space="preserve">Imposes charges on licences granted under </w:t>
      </w:r>
      <w:r w:rsidR="00D37A37" w:rsidRPr="00223A69">
        <w:t>the Act</w:t>
      </w:r>
      <w:r w:rsidR="00D37A37" w:rsidRPr="00781EAF">
        <w:t>.</w:t>
      </w:r>
    </w:p>
    <w:p w14:paraId="2EB56099" w14:textId="50E223B7" w:rsidR="00D37A37" w:rsidRPr="009B39C2" w:rsidRDefault="00BD6E98" w:rsidP="0084119F">
      <w:pPr>
        <w:pStyle w:val="ListBullet"/>
        <w:rPr>
          <w:shd w:val="clear" w:color="auto" w:fill="FFFFFF"/>
        </w:rPr>
      </w:pPr>
      <w:hyperlink r:id="rId26" w:history="1">
        <w:r w:rsidR="00D37A37" w:rsidRPr="009B39C2">
          <w:rPr>
            <w:rStyle w:val="Hyperlink"/>
            <w:rFonts w:cstheme="minorHAnsi"/>
            <w:i/>
            <w:iCs/>
          </w:rPr>
          <w:t>Regulatory Powers (Standard Provisions) Act 2014</w:t>
        </w:r>
      </w:hyperlink>
      <w:r w:rsidR="00D37A37" w:rsidRPr="00F57987">
        <w:t xml:space="preserve"> (Regulatory Powers Act)</w:t>
      </w:r>
      <w:r w:rsidR="009B39C2">
        <w:br/>
      </w:r>
      <w:r w:rsidR="00D37A37" w:rsidRPr="009B39C2">
        <w:rPr>
          <w:shd w:val="clear" w:color="auto" w:fill="FFFFFF"/>
        </w:rPr>
        <w:t>The Regulatory Powers Act provides a standard suite of provisions for government agencies in relation to monitoring and investigation powers, and enforcement measures</w:t>
      </w:r>
      <w:r w:rsidR="00781EAF" w:rsidRPr="009B39C2">
        <w:rPr>
          <w:shd w:val="clear" w:color="auto" w:fill="FFFFFF"/>
        </w:rPr>
        <w:t>,</w:t>
      </w:r>
      <w:r w:rsidR="00D37A37" w:rsidRPr="009B39C2">
        <w:rPr>
          <w:shd w:val="clear" w:color="auto" w:fill="FFFFFF"/>
        </w:rPr>
        <w:t xml:space="preserve"> whilst providing safeguards and protecting important common law privileges for regulated entities. </w:t>
      </w:r>
    </w:p>
    <w:p w14:paraId="78E9432F" w14:textId="2EF2F229" w:rsidR="00D37A37" w:rsidRPr="009B39C2" w:rsidRDefault="00BD6E98" w:rsidP="00BD4F1F">
      <w:pPr>
        <w:pStyle w:val="ListBullet"/>
        <w:rPr>
          <w:shd w:val="clear" w:color="auto" w:fill="FFFFFF"/>
        </w:rPr>
      </w:pPr>
      <w:hyperlink r:id="rId27" w:history="1">
        <w:r w:rsidR="00D37A37" w:rsidRPr="009B39C2">
          <w:rPr>
            <w:rStyle w:val="Hyperlink"/>
            <w:rFonts w:cstheme="minorHAnsi"/>
            <w:i/>
            <w:iCs/>
          </w:rPr>
          <w:t>Criminal Code Act 1995</w:t>
        </w:r>
      </w:hyperlink>
      <w:r w:rsidR="00D37A37" w:rsidRPr="00F57987">
        <w:t xml:space="preserve"> (Criminal Code)</w:t>
      </w:r>
      <w:r w:rsidR="009B39C2">
        <w:br/>
      </w:r>
      <w:r w:rsidR="00D37A37" w:rsidRPr="009B39C2">
        <w:rPr>
          <w:shd w:val="clear" w:color="auto" w:fill="FFFFFF"/>
        </w:rPr>
        <w:t xml:space="preserve">The Criminal Code legislates the general principles of criminal responsibility under laws of the Commonwealth, irrespective of how the offence is created. </w:t>
      </w:r>
    </w:p>
    <w:p w14:paraId="6B33F9FA" w14:textId="0DF0C8BE" w:rsidR="00707CC0" w:rsidRPr="009B39C2" w:rsidRDefault="00BD6E98" w:rsidP="00052760">
      <w:pPr>
        <w:pStyle w:val="ListBullet"/>
      </w:pPr>
      <w:hyperlink r:id="rId28" w:history="1">
        <w:r w:rsidR="00D37A37" w:rsidRPr="009B39C2">
          <w:rPr>
            <w:rStyle w:val="Hyperlink"/>
            <w:rFonts w:cstheme="minorHAnsi"/>
            <w:i/>
            <w:iCs/>
          </w:rPr>
          <w:t>Crimes Act 1914</w:t>
        </w:r>
      </w:hyperlink>
      <w:r w:rsidR="00D37A37" w:rsidRPr="00F57987">
        <w:t xml:space="preserve"> (Crimes Act)</w:t>
      </w:r>
      <w:r w:rsidR="009B39C2">
        <w:br/>
      </w:r>
      <w:r w:rsidR="00D37A37" w:rsidRPr="00F57987">
        <w:t xml:space="preserve">The Crimes Act </w:t>
      </w:r>
      <w:r w:rsidR="007A1FDA">
        <w:t>is an act relating to</w:t>
      </w:r>
      <w:r w:rsidR="00D37A37" w:rsidRPr="00F57987">
        <w:t xml:space="preserve"> offences against the Commonwealth. </w:t>
      </w:r>
      <w:bookmarkStart w:id="6" w:name="_Toc111825247"/>
    </w:p>
    <w:p w14:paraId="23DA88E6" w14:textId="77777777" w:rsidR="009F7F22" w:rsidRDefault="009F7F22">
      <w:pPr>
        <w:rPr>
          <w:rFonts w:ascii="Arial" w:eastAsia="Times New Roman" w:hAnsi="Arial" w:cs="Arial"/>
          <w:bCs/>
          <w:iCs/>
          <w:color w:val="358189"/>
          <w:sz w:val="32"/>
          <w:szCs w:val="28"/>
        </w:rPr>
      </w:pPr>
      <w:r>
        <w:br w:type="page"/>
      </w:r>
    </w:p>
    <w:p w14:paraId="16054321" w14:textId="2DA81280" w:rsidR="00D37A37" w:rsidRPr="00F57987" w:rsidRDefault="00D37A37" w:rsidP="00D37A37">
      <w:pPr>
        <w:pStyle w:val="Heading2"/>
        <w:spacing w:after="240"/>
      </w:pPr>
      <w:bookmarkStart w:id="7" w:name="_Toc125715062"/>
      <w:r w:rsidRPr="00F57987">
        <w:lastRenderedPageBreak/>
        <w:t>3. Risk-based approach to compliance</w:t>
      </w:r>
      <w:bookmarkEnd w:id="6"/>
      <w:bookmarkEnd w:id="7"/>
    </w:p>
    <w:p w14:paraId="17688763" w14:textId="49985ACC" w:rsidR="007166C1" w:rsidRPr="00916BDD" w:rsidRDefault="00D37A37" w:rsidP="00D37A37">
      <w:pPr>
        <w:pStyle w:val="NormalWeb"/>
        <w:shd w:val="clear" w:color="auto" w:fill="FFFFFF"/>
        <w:spacing w:before="0" w:beforeAutospacing="0" w:after="240" w:afterAutospacing="0"/>
        <w:rPr>
          <w:rFonts w:asciiTheme="minorHAnsi" w:hAnsiTheme="minorHAnsi" w:cstheme="minorHAnsi"/>
          <w:color w:val="222222"/>
          <w:sz w:val="22"/>
          <w:szCs w:val="22"/>
        </w:rPr>
      </w:pPr>
      <w:r w:rsidRPr="00F57987">
        <w:rPr>
          <w:rFonts w:asciiTheme="minorHAnsi" w:hAnsiTheme="minorHAnsi" w:cstheme="minorHAnsi"/>
          <w:color w:val="222222"/>
          <w:sz w:val="22"/>
          <w:szCs w:val="22"/>
        </w:rPr>
        <w:t>The ODC adopts a risk-based approach to appropriately respond to the nature and seriousness of non-compliant behaviour</w:t>
      </w:r>
      <w:r w:rsidR="00EA6D73">
        <w:rPr>
          <w:rFonts w:asciiTheme="minorHAnsi" w:hAnsiTheme="minorHAnsi" w:cstheme="minorHAnsi"/>
          <w:color w:val="222222"/>
          <w:sz w:val="22"/>
          <w:szCs w:val="22"/>
        </w:rPr>
        <w:t xml:space="preserve"> by regulated persons</w:t>
      </w:r>
      <w:r w:rsidRPr="00F57987">
        <w:rPr>
          <w:rFonts w:asciiTheme="minorHAnsi" w:hAnsiTheme="minorHAnsi" w:cstheme="minorHAnsi"/>
          <w:color w:val="222222"/>
          <w:sz w:val="22"/>
          <w:szCs w:val="22"/>
        </w:rPr>
        <w:t>.</w:t>
      </w:r>
      <w:r w:rsidRPr="00916BDD">
        <w:rPr>
          <w:rFonts w:asciiTheme="minorHAnsi" w:hAnsiTheme="minorHAnsi" w:cstheme="minorHAnsi"/>
          <w:color w:val="222222"/>
          <w:sz w:val="22"/>
          <w:szCs w:val="22"/>
        </w:rPr>
        <w:t xml:space="preserve">  </w:t>
      </w:r>
      <w:r w:rsidR="0054467D">
        <w:rPr>
          <w:rFonts w:asciiTheme="minorHAnsi" w:hAnsiTheme="minorHAnsi" w:cstheme="minorHAnsi"/>
          <w:color w:val="222222"/>
          <w:sz w:val="22"/>
          <w:szCs w:val="22"/>
        </w:rPr>
        <w:t>I</w:t>
      </w:r>
      <w:r w:rsidR="007166C1" w:rsidRPr="00916BDD">
        <w:rPr>
          <w:rFonts w:asciiTheme="minorHAnsi" w:hAnsiTheme="minorHAnsi" w:cstheme="minorHAnsi"/>
          <w:color w:val="222222"/>
          <w:sz w:val="22"/>
          <w:szCs w:val="22"/>
        </w:rPr>
        <w:t xml:space="preserve">n </w:t>
      </w:r>
      <w:r w:rsidR="0054467D">
        <w:rPr>
          <w:rFonts w:asciiTheme="minorHAnsi" w:hAnsiTheme="minorHAnsi" w:cstheme="minorHAnsi"/>
          <w:color w:val="222222"/>
          <w:sz w:val="22"/>
          <w:szCs w:val="22"/>
        </w:rPr>
        <w:t>determining</w:t>
      </w:r>
      <w:r w:rsidR="0054467D" w:rsidRPr="00916BDD">
        <w:rPr>
          <w:rFonts w:asciiTheme="minorHAnsi" w:hAnsiTheme="minorHAnsi" w:cstheme="minorHAnsi"/>
          <w:color w:val="222222"/>
          <w:sz w:val="22"/>
          <w:szCs w:val="22"/>
        </w:rPr>
        <w:t xml:space="preserve"> </w:t>
      </w:r>
      <w:r w:rsidR="007166C1" w:rsidRPr="00916BDD">
        <w:rPr>
          <w:rFonts w:asciiTheme="minorHAnsi" w:hAnsiTheme="minorHAnsi" w:cstheme="minorHAnsi"/>
          <w:color w:val="222222"/>
          <w:sz w:val="22"/>
          <w:szCs w:val="22"/>
        </w:rPr>
        <w:t xml:space="preserve">how to manage a risk associated with a particular business, the ODC will consider </w:t>
      </w:r>
      <w:r w:rsidR="008B03D2" w:rsidRPr="00916BDD">
        <w:rPr>
          <w:rFonts w:asciiTheme="minorHAnsi" w:hAnsiTheme="minorHAnsi" w:cstheme="minorHAnsi"/>
          <w:color w:val="222222"/>
          <w:sz w:val="22"/>
          <w:szCs w:val="22"/>
        </w:rPr>
        <w:t>several</w:t>
      </w:r>
      <w:r w:rsidR="007166C1" w:rsidRPr="00916BDD">
        <w:rPr>
          <w:rFonts w:asciiTheme="minorHAnsi" w:hAnsiTheme="minorHAnsi" w:cstheme="minorHAnsi"/>
          <w:color w:val="222222"/>
          <w:sz w:val="22"/>
          <w:szCs w:val="22"/>
        </w:rPr>
        <w:t xml:space="preserve"> factors, including: </w:t>
      </w:r>
    </w:p>
    <w:p w14:paraId="517C15D9" w14:textId="37DE3E0C" w:rsidR="007166C1" w:rsidRPr="0065455E" w:rsidRDefault="007166C1" w:rsidP="009B39C2">
      <w:pPr>
        <w:pStyle w:val="ListBullet"/>
      </w:pPr>
      <w:r w:rsidRPr="0065455E">
        <w:t xml:space="preserve">probity of the applicant (fit and proper person requirements) </w:t>
      </w:r>
    </w:p>
    <w:p w14:paraId="7B29711F" w14:textId="48D987E0" w:rsidR="007166C1" w:rsidRPr="0065455E" w:rsidRDefault="0094085F" w:rsidP="009B39C2">
      <w:pPr>
        <w:pStyle w:val="ListBullet"/>
      </w:pPr>
      <w:r>
        <w:t>t</w:t>
      </w:r>
      <w:r w:rsidR="007166C1" w:rsidRPr="0065455E">
        <w:t>ype of narcotic</w:t>
      </w:r>
    </w:p>
    <w:p w14:paraId="2A6C6C03" w14:textId="01F76353" w:rsidR="007166C1" w:rsidRPr="0065455E" w:rsidRDefault="007166C1" w:rsidP="009B39C2">
      <w:pPr>
        <w:pStyle w:val="ListBullet"/>
      </w:pPr>
      <w:r w:rsidRPr="0065455E">
        <w:t>quantities of narcotic required for cultivation, production and</w:t>
      </w:r>
      <w:r w:rsidR="00781EAF">
        <w:t>/or</w:t>
      </w:r>
      <w:r w:rsidRPr="0065455E">
        <w:t xml:space="preserve"> manufacture </w:t>
      </w:r>
    </w:p>
    <w:p w14:paraId="525B9B7C" w14:textId="36CF8CEE" w:rsidR="007166C1" w:rsidRPr="0065455E" w:rsidRDefault="007166C1" w:rsidP="009B39C2">
      <w:pPr>
        <w:pStyle w:val="ListBullet"/>
      </w:pPr>
      <w:r w:rsidRPr="0065455E">
        <w:t xml:space="preserve">site security and storage </w:t>
      </w:r>
    </w:p>
    <w:p w14:paraId="1015C178" w14:textId="63FADA2A" w:rsidR="007166C1" w:rsidRPr="0065455E" w:rsidRDefault="007166C1" w:rsidP="009B39C2">
      <w:pPr>
        <w:pStyle w:val="ListBullet"/>
      </w:pPr>
      <w:r w:rsidRPr="0065455E">
        <w:t xml:space="preserve">location of the facility </w:t>
      </w:r>
    </w:p>
    <w:p w14:paraId="324DA563" w14:textId="235E5541" w:rsidR="007166C1" w:rsidRPr="0065455E" w:rsidRDefault="007166C1" w:rsidP="009B39C2">
      <w:pPr>
        <w:pStyle w:val="ListBullet"/>
      </w:pPr>
      <w:r w:rsidRPr="0065455E">
        <w:t xml:space="preserve">supply arrangements </w:t>
      </w:r>
    </w:p>
    <w:p w14:paraId="4499563F" w14:textId="30A0391D" w:rsidR="0065455E" w:rsidRPr="009B39C2" w:rsidRDefault="007166C1" w:rsidP="009B39C2">
      <w:pPr>
        <w:pStyle w:val="ListBullet"/>
      </w:pPr>
      <w:r w:rsidRPr="0065455E">
        <w:t>compliance history</w:t>
      </w:r>
      <w:r w:rsidR="00781EAF">
        <w:t>.</w:t>
      </w:r>
      <w:r w:rsidRPr="0065455E">
        <w:t xml:space="preserve"> </w:t>
      </w:r>
    </w:p>
    <w:p w14:paraId="65C80B74" w14:textId="7D0CBB04" w:rsidR="00DE7790" w:rsidRPr="0065455E" w:rsidRDefault="007166C1" w:rsidP="00D37A37">
      <w:pPr>
        <w:pStyle w:val="NormalWeb"/>
        <w:shd w:val="clear" w:color="auto" w:fill="FFFFFF"/>
        <w:spacing w:before="0" w:beforeAutospacing="0" w:after="240" w:afterAutospacing="0"/>
        <w:rPr>
          <w:rFonts w:asciiTheme="minorHAnsi" w:hAnsiTheme="minorHAnsi" w:cstheme="minorHAnsi"/>
          <w:color w:val="222222"/>
          <w:sz w:val="22"/>
          <w:szCs w:val="22"/>
        </w:rPr>
      </w:pPr>
      <w:r w:rsidRPr="0065455E">
        <w:rPr>
          <w:rFonts w:asciiTheme="minorHAnsi" w:hAnsiTheme="minorHAnsi" w:cstheme="minorHAnsi"/>
          <w:color w:val="222222"/>
          <w:sz w:val="22"/>
          <w:szCs w:val="22"/>
        </w:rPr>
        <w:t xml:space="preserve">Persons have a responsibility to ensure the risks associated with their proposed activities are clearly identified and that appropriate measures </w:t>
      </w:r>
      <w:r w:rsidR="00214B0E">
        <w:rPr>
          <w:rFonts w:asciiTheme="minorHAnsi" w:hAnsiTheme="minorHAnsi" w:cstheme="minorHAnsi"/>
          <w:color w:val="222222"/>
          <w:sz w:val="22"/>
          <w:szCs w:val="22"/>
        </w:rPr>
        <w:t xml:space="preserve">are implemented </w:t>
      </w:r>
      <w:r w:rsidRPr="0065455E">
        <w:rPr>
          <w:rFonts w:asciiTheme="minorHAnsi" w:hAnsiTheme="minorHAnsi" w:cstheme="minorHAnsi"/>
          <w:color w:val="222222"/>
          <w:sz w:val="22"/>
          <w:szCs w:val="22"/>
        </w:rPr>
        <w:t>to mitigate those risks</w:t>
      </w:r>
      <w:r w:rsidR="006E6CA3" w:rsidRPr="0065455E">
        <w:rPr>
          <w:rFonts w:asciiTheme="minorHAnsi" w:hAnsiTheme="minorHAnsi" w:cstheme="minorHAnsi"/>
          <w:color w:val="222222"/>
          <w:sz w:val="22"/>
          <w:szCs w:val="22"/>
        </w:rPr>
        <w:t>.</w:t>
      </w:r>
      <w:r w:rsidR="00214B0E">
        <w:rPr>
          <w:rFonts w:asciiTheme="minorHAnsi" w:hAnsiTheme="minorHAnsi" w:cstheme="minorHAnsi"/>
          <w:color w:val="222222"/>
          <w:sz w:val="22"/>
          <w:szCs w:val="22"/>
        </w:rPr>
        <w:t xml:space="preserve"> </w:t>
      </w:r>
      <w:r w:rsidR="0054467D">
        <w:rPr>
          <w:rFonts w:asciiTheme="minorHAnsi" w:hAnsiTheme="minorHAnsi" w:cstheme="minorHAnsi"/>
          <w:color w:val="222222"/>
          <w:sz w:val="22"/>
          <w:szCs w:val="22"/>
        </w:rPr>
        <w:t>T</w:t>
      </w:r>
      <w:r w:rsidR="00214B0E">
        <w:rPr>
          <w:rFonts w:asciiTheme="minorHAnsi" w:hAnsiTheme="minorHAnsi" w:cstheme="minorHAnsi"/>
          <w:color w:val="222222"/>
          <w:sz w:val="22"/>
          <w:szCs w:val="22"/>
        </w:rPr>
        <w:t>he graphic below</w:t>
      </w:r>
      <w:r w:rsidR="0054467D">
        <w:rPr>
          <w:rFonts w:asciiTheme="minorHAnsi" w:hAnsiTheme="minorHAnsi" w:cstheme="minorHAnsi"/>
          <w:color w:val="222222"/>
          <w:sz w:val="22"/>
          <w:szCs w:val="22"/>
        </w:rPr>
        <w:t xml:space="preserve"> outlines the ODC’s approach to addressing compliance matters based on the level of risk identified.</w:t>
      </w:r>
    </w:p>
    <w:tbl>
      <w:tblPr>
        <w:tblW w:w="10209" w:type="dxa"/>
        <w:tblInd w:w="-426" w:type="dxa"/>
        <w:tblLook w:val="04A0" w:firstRow="1" w:lastRow="0" w:firstColumn="1" w:lastColumn="0" w:noHBand="0" w:noVBand="1"/>
      </w:tblPr>
      <w:tblGrid>
        <w:gridCol w:w="2522"/>
        <w:gridCol w:w="2462"/>
        <w:gridCol w:w="2643"/>
        <w:gridCol w:w="2582"/>
      </w:tblGrid>
      <w:tr w:rsidR="00DE7790" w:rsidRPr="00526E7D" w14:paraId="6879417F" w14:textId="77777777" w:rsidTr="00DE7790">
        <w:trPr>
          <w:trHeight w:val="605"/>
        </w:trPr>
        <w:tc>
          <w:tcPr>
            <w:tcW w:w="10209" w:type="dxa"/>
            <w:gridSpan w:val="4"/>
            <w:tcBorders>
              <w:top w:val="nil"/>
              <w:left w:val="nil"/>
              <w:bottom w:val="nil"/>
              <w:right w:val="nil"/>
            </w:tcBorders>
            <w:shd w:val="clear" w:color="auto" w:fill="auto"/>
            <w:vAlign w:val="center"/>
          </w:tcPr>
          <w:p w14:paraId="25AC9267" w14:textId="1B57C69F" w:rsidR="00DE7790" w:rsidRPr="00526E7D" w:rsidRDefault="00DE7790" w:rsidP="00526E7D">
            <w:pPr>
              <w:spacing w:after="0" w:line="240" w:lineRule="auto"/>
              <w:contextualSpacing/>
              <w:jc w:val="center"/>
              <w:rPr>
                <w:rFonts w:cstheme="minorHAnsi"/>
                <w:b/>
                <w:bCs/>
                <w:color w:val="FFFFFF" w:themeColor="background1"/>
                <w:sz w:val="24"/>
                <w:szCs w:val="24"/>
              </w:rPr>
            </w:pPr>
            <w:r w:rsidRPr="00526E7D">
              <w:rPr>
                <w:rFonts w:cstheme="minorHAnsi"/>
                <w:b/>
                <w:bCs/>
                <w:noProof/>
                <w:color w:val="000000"/>
              </w:rPr>
              <mc:AlternateContent>
                <mc:Choice Requires="wps">
                  <w:drawing>
                    <wp:inline distT="0" distB="0" distL="0" distR="0" wp14:anchorId="116B7CA9" wp14:editId="639A0A07">
                      <wp:extent cx="6345761" cy="562610"/>
                      <wp:effectExtent l="0" t="0" r="0" b="8890"/>
                      <wp:docPr id="15" name="Arrow: Left-Right 15">
                        <a:extLst xmlns:a="http://schemas.openxmlformats.org/drawingml/2006/main">
                          <a:ext uri="{FF2B5EF4-FFF2-40B4-BE49-F238E27FC236}">
                            <a16:creationId xmlns:a16="http://schemas.microsoft.com/office/drawing/2014/main" id="{6C650669-71D9-42DC-BE37-A70262B4C321}"/>
                          </a:ext>
                        </a:extLst>
                      </wp:docPr>
                      <wp:cNvGraphicFramePr/>
                      <a:graphic xmlns:a="http://schemas.openxmlformats.org/drawingml/2006/main">
                        <a:graphicData uri="http://schemas.microsoft.com/office/word/2010/wordprocessingShape">
                          <wps:wsp>
                            <wps:cNvSpPr/>
                            <wps:spPr>
                              <a:xfrm>
                                <a:off x="0" y="0"/>
                                <a:ext cx="6345761" cy="562610"/>
                              </a:xfrm>
                              <a:prstGeom prst="leftRightArrow">
                                <a:avLst/>
                              </a:prstGeom>
                              <a:gradFill flip="none" rotWithShape="1">
                                <a:gsLst>
                                  <a:gs pos="61000">
                                    <a:schemeClr val="accent6">
                                      <a:lumMod val="75000"/>
                                    </a:schemeClr>
                                  </a:gs>
                                  <a:gs pos="1000">
                                    <a:schemeClr val="accent6">
                                      <a:lumMod val="75000"/>
                                      <a:alpha val="48000"/>
                                    </a:schemeClr>
                                  </a:gs>
                                  <a:gs pos="2000">
                                    <a:srgbClr val="3F4A75"/>
                                  </a:gs>
                                </a:gsLst>
                                <a:path path="circle">
                                  <a:fillToRect l="100000" t="100000"/>
                                </a:path>
                                <a:tileRect r="-100000" b="-100000"/>
                              </a:gra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329DD2E" w14:textId="304C9ACC" w:rsidR="00DE7790" w:rsidRPr="001F4510" w:rsidRDefault="00DE7790" w:rsidP="00DE7790">
                                  <w:pPr>
                                    <w:spacing w:after="0"/>
                                    <w:ind w:left="-284" w:right="-399"/>
                                    <w:jc w:val="center"/>
                                    <w:rPr>
                                      <w:color w:val="FFFFFF"/>
                                    </w:rPr>
                                  </w:pPr>
                                  <w:r w:rsidRPr="00FA1B5E">
                                    <w:rPr>
                                      <w:b/>
                                      <w:bCs/>
                                      <w:color w:val="FFFFFF"/>
                                      <w:sz w:val="24"/>
                                      <w:szCs w:val="24"/>
                                    </w:rPr>
                                    <w:t>LOW RISK</w:t>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sidRPr="00FA1B5E">
                                    <w:rPr>
                                      <w:b/>
                                      <w:bCs/>
                                      <w:color w:val="FFFFFF"/>
                                      <w:sz w:val="24"/>
                                      <w:szCs w:val="24"/>
                                    </w:rPr>
                                    <w:t>HIGH RISK</w:t>
                                  </w:r>
                                </w:p>
                                <w:p w14:paraId="2817279F" w14:textId="77777777" w:rsidR="00DE7790" w:rsidRDefault="00DE7790" w:rsidP="00DE7790">
                                  <w:pPr>
                                    <w:spacing w:after="0"/>
                                  </w:pP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type w14:anchorId="116B7CA9"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Arrow: Left-Right 15" o:spid="_x0000_s1026" type="#_x0000_t69" style="width:499.65pt;height:44.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7YVrEwMAAOoGAAAOAAAAZHJzL2Uyb0RvYy54bWysVdtOGzEQfa/Uf7D8DpuEJNAVCYpAqSql&#10;LQIqnh2vN2vJa7u2c6Ff32PvhZTSqkJ9ccY7N8+ZOZPLq0OtyE44L42e0eHpgBKhuSmk3szot4fl&#10;yQUlPjBdMGW0mNEn4enV/P27y73NxchURhXCEQTRPt/bGa1CsHmWeV6JmvlTY4WGsjSuZgFXt8kK&#10;x/aIXqtsNBhMs71xhXWGC+/x9aZR0nmKX5aCh69l6UUgakbxtpBOl851PLP5Jcs3jtlK8vYZ7A2v&#10;qJnUSNqHumGBka2Tv4WqJXfGmzKcclNnpiwlF6kGVDMcvKjmvmJWpFoAjrc9TP7/heVfdreOyAK9&#10;m1CiWY0eLZwz+5ysRBlO7uSmCgQ6ALW3Pof9vb117c1DjFUfSlfHX9RDDgncpx5ccQiE4+P0bDw5&#10;nw4p4dBNpqPpMKGfPXtb58NHYWoShRlVyJ/Sp/ckdNlu5QNyw6kzbkEvllIpUiqJGdKYNEqcCY8y&#10;VAlDVNd0x8M/eXhiDWDEIwaDpEoTJ66VIzuGWWGcCx2mSaW29WdTNN/PJ9GheULvkh608ceB3xyX&#10;5UzZijXZxhf/lg1MaKtwm3Vfw9lyvDhPnQNe8Xnpp0XAslCReMwol46rOGcsL4Hig7kDbSJhYhEI&#10;HFnTii32cIvWQSqRbEGok84YtOrkxhrsSt2JHkrHU5vYrUYbv2RxsppZSlJ4UqKxvhMlhhPTM/pz&#10;k5rW+ooVokEttuj1HimNgDFyrLOP3QaIK+flAAzbVrf20VWkrdI7/2V6OufeI2U2OvTOtdTGvVaZ&#10;Cp1z2dh3IDXQRJTCYX0AhFFcm+IJLMbEJ+55y5cSFFoxH26Zwz5DD7Gjoa2M+0HJHvtuRv33LXMg&#10;ivqkwYQPw/E4tjpdwNQRLu5Ysz7W6G19beKEYLtbnsRoH1Qnls7Uj1jNi5gVKqY5cmPWgusu1wF3&#10;qLDcuVgskoyliJlc6XvLO85Goj8cHpmz7V4I2ChfTLcbwZdfl0JjG6HWZrENppRpYzzj1EKJhdow&#10;oln+cWMf35PV81/U/CcAAAD//wMAUEsDBBQABgAIAAAAIQDWcdA82wAAAAQBAAAPAAAAZHJzL2Rv&#10;d25yZXYueG1sTI/BasMwEETvhfyD2EBujdwEgu1aDiaQ3npwUkJ7U6yNbSytjCU7zt9X7aW9LAwz&#10;zLzN9rPRbMLBtZYEvKwjYEiVVS3VAj7Ox+cYmPOSlNSWUMADHezzxVMmU2XvVOJ08jULJeRSKaDx&#10;vk85d1WDRrq17ZGCd7ODkT7IoeZqkPdQbjTfRNGOG9lSWGhkj4cGq+40GgFjcS6/3ksdTZ+by7bo&#10;anrrbiTEajkXr8A8zv4vDD/4AR3ywHS1IynHtIDwiP+9wUuSZAvsKiCOd8DzjP+Hz78BAAD//wMA&#10;UEsBAi0AFAAGAAgAAAAhALaDOJL+AAAA4QEAABMAAAAAAAAAAAAAAAAAAAAAAFtDb250ZW50X1R5&#10;cGVzXS54bWxQSwECLQAUAAYACAAAACEAOP0h/9YAAACUAQAACwAAAAAAAAAAAAAAAAAvAQAAX3Jl&#10;bHMvLnJlbHNQSwECLQAUAAYACAAAACEA2u2FaxMDAADqBgAADgAAAAAAAAAAAAAAAAAuAgAAZHJz&#10;L2Uyb0RvYy54bWxQSwECLQAUAAYACAAAACEA1nHQPNsAAAAEAQAADwAAAAAAAAAAAAAAAABtBQAA&#10;ZHJzL2Rvd25yZXYueG1sUEsFBgAAAAAEAAQA8wAAAHUGAAAAAA==&#10;" adj="958" fillcolor="#538135 [2409]" stroked="f" strokeweight="1pt">
                      <v:fill color2="#538135 [2409]" o:opacity2="31457f" rotate="t" focusposition="1,1" focussize="" colors="0 #548235;655f #548235;1311f #3f4a75" focus="100%" type="gradientRadial"/>
                      <v:textbox>
                        <w:txbxContent>
                          <w:p w14:paraId="7329DD2E" w14:textId="304C9ACC" w:rsidR="00DE7790" w:rsidRPr="001F4510" w:rsidRDefault="00DE7790" w:rsidP="00DE7790">
                            <w:pPr>
                              <w:spacing w:after="0"/>
                              <w:ind w:left="-284" w:right="-399"/>
                              <w:jc w:val="center"/>
                              <w:rPr>
                                <w:color w:val="FFFFFF"/>
                              </w:rPr>
                            </w:pPr>
                            <w:r w:rsidRPr="00FA1B5E">
                              <w:rPr>
                                <w:b/>
                                <w:bCs/>
                                <w:color w:val="FFFFFF"/>
                                <w:sz w:val="24"/>
                                <w:szCs w:val="24"/>
                              </w:rPr>
                              <w:t>LOW RISK</w:t>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Pr>
                                <w:b/>
                                <w:bCs/>
                                <w:color w:val="FFFFFF"/>
                                <w:sz w:val="24"/>
                                <w:szCs w:val="24"/>
                              </w:rPr>
                              <w:tab/>
                            </w:r>
                            <w:r w:rsidRPr="00FA1B5E">
                              <w:rPr>
                                <w:b/>
                                <w:bCs/>
                                <w:color w:val="FFFFFF"/>
                                <w:sz w:val="24"/>
                                <w:szCs w:val="24"/>
                              </w:rPr>
                              <w:t>HIGH RISK</w:t>
                            </w:r>
                          </w:p>
                          <w:p w14:paraId="2817279F" w14:textId="77777777" w:rsidR="00DE7790" w:rsidRDefault="00DE7790" w:rsidP="00DE7790">
                            <w:pPr>
                              <w:spacing w:after="0"/>
                            </w:pPr>
                          </w:p>
                        </w:txbxContent>
                      </v:textbox>
                      <w10:anchorlock/>
                    </v:shape>
                  </w:pict>
                </mc:Fallback>
              </mc:AlternateContent>
            </w:r>
          </w:p>
        </w:tc>
      </w:tr>
      <w:tr w:rsidR="0065455E" w:rsidRPr="00526E7D" w14:paraId="5A9812E9" w14:textId="77777777" w:rsidTr="0065455E">
        <w:trPr>
          <w:trHeight w:val="605"/>
        </w:trPr>
        <w:tc>
          <w:tcPr>
            <w:tcW w:w="10209" w:type="dxa"/>
            <w:gridSpan w:val="4"/>
            <w:tcBorders>
              <w:top w:val="nil"/>
              <w:left w:val="nil"/>
              <w:bottom w:val="nil"/>
              <w:right w:val="nil"/>
            </w:tcBorders>
            <w:shd w:val="clear" w:color="000000" w:fill="203764"/>
            <w:vAlign w:val="center"/>
            <w:hideMark/>
          </w:tcPr>
          <w:p w14:paraId="644C34F2" w14:textId="77777777" w:rsidR="0065455E" w:rsidRPr="00526E7D" w:rsidRDefault="0065455E" w:rsidP="00526E7D">
            <w:pPr>
              <w:spacing w:after="0" w:line="240" w:lineRule="auto"/>
              <w:contextualSpacing/>
              <w:jc w:val="center"/>
              <w:rPr>
                <w:rFonts w:cstheme="minorHAnsi"/>
                <w:b/>
                <w:bCs/>
                <w:color w:val="FFFFFF"/>
                <w:sz w:val="24"/>
                <w:szCs w:val="24"/>
              </w:rPr>
            </w:pPr>
            <w:r w:rsidRPr="00526E7D">
              <w:rPr>
                <w:rFonts w:cstheme="minorHAnsi"/>
                <w:b/>
                <w:bCs/>
                <w:color w:val="FFFFFF" w:themeColor="background1"/>
                <w:sz w:val="24"/>
                <w:szCs w:val="24"/>
              </w:rPr>
              <w:t>ODC’s approach to compliance</w:t>
            </w:r>
          </w:p>
        </w:tc>
      </w:tr>
      <w:tr w:rsidR="0065455E" w:rsidRPr="00526E7D" w14:paraId="54ECE777" w14:textId="77777777" w:rsidTr="0065455E">
        <w:trPr>
          <w:trHeight w:val="726"/>
        </w:trPr>
        <w:tc>
          <w:tcPr>
            <w:tcW w:w="2522" w:type="dxa"/>
            <w:tcBorders>
              <w:top w:val="nil"/>
              <w:left w:val="nil"/>
              <w:bottom w:val="nil"/>
              <w:right w:val="nil"/>
            </w:tcBorders>
            <w:shd w:val="clear" w:color="auto" w:fill="C5E0B3" w:themeFill="accent6" w:themeFillTint="66"/>
            <w:hideMark/>
          </w:tcPr>
          <w:p w14:paraId="171A5D2C" w14:textId="77777777" w:rsidR="0065455E" w:rsidRPr="00526E7D" w:rsidRDefault="0065455E" w:rsidP="00E97E6B">
            <w:pPr>
              <w:jc w:val="center"/>
              <w:rPr>
                <w:rFonts w:cstheme="minorHAnsi"/>
                <w:b/>
                <w:bCs/>
                <w:color w:val="000000"/>
              </w:rPr>
            </w:pPr>
            <w:r w:rsidRPr="00526E7D">
              <w:rPr>
                <w:rFonts w:cstheme="minorHAnsi"/>
                <w:b/>
                <w:bCs/>
                <w:color w:val="000000"/>
              </w:rPr>
              <w:t>Help and support</w:t>
            </w:r>
            <w:r w:rsidRPr="00526E7D">
              <w:rPr>
                <w:rFonts w:cstheme="minorHAnsi"/>
                <w:color w:val="000000"/>
              </w:rPr>
              <w:br/>
              <w:t>• Make ongoing compliance easy</w:t>
            </w:r>
          </w:p>
        </w:tc>
        <w:tc>
          <w:tcPr>
            <w:tcW w:w="2462" w:type="dxa"/>
            <w:tcBorders>
              <w:top w:val="nil"/>
              <w:left w:val="nil"/>
              <w:bottom w:val="nil"/>
              <w:right w:val="nil"/>
            </w:tcBorders>
            <w:shd w:val="clear" w:color="000000" w:fill="B4C6E7"/>
            <w:hideMark/>
          </w:tcPr>
          <w:p w14:paraId="6975235E" w14:textId="77777777" w:rsidR="0065455E" w:rsidRPr="00526E7D" w:rsidRDefault="0065455E" w:rsidP="00E97E6B">
            <w:pPr>
              <w:spacing w:after="0"/>
              <w:contextualSpacing/>
              <w:jc w:val="center"/>
              <w:rPr>
                <w:rFonts w:cstheme="minorHAnsi"/>
                <w:b/>
                <w:bCs/>
                <w:color w:val="000000"/>
              </w:rPr>
            </w:pPr>
            <w:r w:rsidRPr="00526E7D">
              <w:rPr>
                <w:rFonts w:cstheme="minorHAnsi"/>
                <w:b/>
                <w:bCs/>
                <w:color w:val="000000"/>
              </w:rPr>
              <w:t>Inform and advise</w:t>
            </w:r>
          </w:p>
          <w:p w14:paraId="4DDACACD" w14:textId="77777777" w:rsidR="0065455E" w:rsidRPr="00526E7D" w:rsidRDefault="0065455E" w:rsidP="00E97E6B">
            <w:pPr>
              <w:pStyle w:val="ListParagraph"/>
              <w:numPr>
                <w:ilvl w:val="0"/>
                <w:numId w:val="3"/>
              </w:numPr>
              <w:ind w:left="282" w:hanging="212"/>
              <w:jc w:val="center"/>
              <w:rPr>
                <w:rFonts w:asciiTheme="minorHAnsi" w:hAnsiTheme="minorHAnsi" w:cstheme="minorHAnsi"/>
                <w:b/>
                <w:bCs/>
                <w:color w:val="000000"/>
                <w:szCs w:val="22"/>
              </w:rPr>
            </w:pPr>
            <w:r w:rsidRPr="00526E7D">
              <w:rPr>
                <w:rFonts w:asciiTheme="minorHAnsi" w:hAnsiTheme="minorHAnsi" w:cstheme="minorHAnsi"/>
                <w:color w:val="000000"/>
                <w:szCs w:val="22"/>
              </w:rPr>
              <w:t>Help to become compliant</w:t>
            </w:r>
          </w:p>
        </w:tc>
        <w:tc>
          <w:tcPr>
            <w:tcW w:w="2643" w:type="dxa"/>
            <w:tcBorders>
              <w:top w:val="nil"/>
              <w:left w:val="nil"/>
              <w:bottom w:val="nil"/>
              <w:right w:val="nil"/>
            </w:tcBorders>
            <w:shd w:val="clear" w:color="000000" w:fill="D9E1F2"/>
            <w:hideMark/>
          </w:tcPr>
          <w:p w14:paraId="5DA30BC3" w14:textId="77777777" w:rsidR="0065455E" w:rsidRPr="00526E7D" w:rsidRDefault="0065455E" w:rsidP="00E97E6B">
            <w:pPr>
              <w:jc w:val="center"/>
              <w:rPr>
                <w:rFonts w:cstheme="minorHAnsi"/>
                <w:b/>
                <w:bCs/>
                <w:color w:val="000000"/>
              </w:rPr>
            </w:pPr>
            <w:r w:rsidRPr="00526E7D">
              <w:rPr>
                <w:rFonts w:cstheme="minorHAnsi"/>
                <w:b/>
                <w:bCs/>
                <w:color w:val="000000"/>
              </w:rPr>
              <w:t>Correct behaviour</w:t>
            </w:r>
            <w:r w:rsidRPr="00526E7D">
              <w:rPr>
                <w:rFonts w:cstheme="minorHAnsi"/>
                <w:color w:val="000000"/>
              </w:rPr>
              <w:br/>
              <w:t>• Deter by detection</w:t>
            </w:r>
          </w:p>
        </w:tc>
        <w:tc>
          <w:tcPr>
            <w:tcW w:w="2582" w:type="dxa"/>
            <w:tcBorders>
              <w:top w:val="nil"/>
              <w:left w:val="nil"/>
              <w:bottom w:val="nil"/>
              <w:right w:val="nil"/>
            </w:tcBorders>
            <w:shd w:val="clear" w:color="000000" w:fill="EDEDED"/>
            <w:hideMark/>
          </w:tcPr>
          <w:p w14:paraId="53072A41" w14:textId="77777777" w:rsidR="0065455E" w:rsidRPr="00526E7D" w:rsidRDefault="0065455E" w:rsidP="00E97E6B">
            <w:pPr>
              <w:jc w:val="center"/>
              <w:rPr>
                <w:rFonts w:cstheme="minorHAnsi"/>
                <w:b/>
                <w:bCs/>
                <w:color w:val="000000"/>
              </w:rPr>
            </w:pPr>
            <w:r w:rsidRPr="00526E7D">
              <w:rPr>
                <w:rFonts w:cstheme="minorHAnsi"/>
                <w:b/>
                <w:bCs/>
                <w:color w:val="000000"/>
              </w:rPr>
              <w:t>Apply enforcement options</w:t>
            </w:r>
          </w:p>
        </w:tc>
      </w:tr>
      <w:tr w:rsidR="0065455E" w:rsidRPr="00526E7D" w14:paraId="6F514681" w14:textId="77777777" w:rsidTr="0065455E">
        <w:trPr>
          <w:trHeight w:val="508"/>
        </w:trPr>
        <w:tc>
          <w:tcPr>
            <w:tcW w:w="10209" w:type="dxa"/>
            <w:gridSpan w:val="4"/>
            <w:tcBorders>
              <w:top w:val="nil"/>
              <w:left w:val="nil"/>
              <w:bottom w:val="nil"/>
              <w:right w:val="nil"/>
            </w:tcBorders>
            <w:shd w:val="clear" w:color="000000" w:fill="203764"/>
            <w:vAlign w:val="center"/>
            <w:hideMark/>
          </w:tcPr>
          <w:p w14:paraId="1F7890A1" w14:textId="77777777" w:rsidR="0065455E" w:rsidRPr="00526E7D" w:rsidRDefault="0065455E" w:rsidP="00526E7D">
            <w:pPr>
              <w:spacing w:after="0" w:line="240" w:lineRule="auto"/>
              <w:contextualSpacing/>
              <w:jc w:val="center"/>
              <w:rPr>
                <w:rFonts w:cstheme="minorHAnsi"/>
                <w:b/>
                <w:bCs/>
                <w:color w:val="FFFFFF"/>
              </w:rPr>
            </w:pPr>
            <w:r w:rsidRPr="00526E7D">
              <w:rPr>
                <w:rFonts w:cstheme="minorHAnsi"/>
                <w:b/>
                <w:bCs/>
                <w:color w:val="FFFFFF" w:themeColor="background1"/>
              </w:rPr>
              <w:t>Regulated entity’s approach to compliance</w:t>
            </w:r>
          </w:p>
        </w:tc>
      </w:tr>
      <w:tr w:rsidR="0065455E" w:rsidRPr="00526E7D" w14:paraId="0E3870BF" w14:textId="77777777" w:rsidTr="0065455E">
        <w:trPr>
          <w:trHeight w:val="1696"/>
        </w:trPr>
        <w:tc>
          <w:tcPr>
            <w:tcW w:w="2522" w:type="dxa"/>
            <w:tcBorders>
              <w:top w:val="nil"/>
              <w:left w:val="nil"/>
              <w:bottom w:val="nil"/>
              <w:right w:val="nil"/>
            </w:tcBorders>
            <w:shd w:val="clear" w:color="auto" w:fill="C5E0B3" w:themeFill="accent6" w:themeFillTint="66"/>
            <w:hideMark/>
          </w:tcPr>
          <w:p w14:paraId="1C0AB0C9" w14:textId="77777777" w:rsidR="0065455E" w:rsidRPr="00526E7D" w:rsidRDefault="0065455E" w:rsidP="00E97E6B">
            <w:pPr>
              <w:jc w:val="center"/>
              <w:rPr>
                <w:rFonts w:cstheme="minorHAnsi"/>
                <w:b/>
                <w:bCs/>
                <w:color w:val="000000"/>
              </w:rPr>
            </w:pPr>
            <w:r w:rsidRPr="00526E7D">
              <w:rPr>
                <w:rFonts w:cstheme="minorHAnsi"/>
                <w:b/>
                <w:bCs/>
                <w:color w:val="000000"/>
              </w:rPr>
              <w:t>Voluntary compliance</w:t>
            </w:r>
            <w:r w:rsidRPr="00526E7D">
              <w:rPr>
                <w:rFonts w:cstheme="minorHAnsi"/>
                <w:color w:val="000000"/>
              </w:rPr>
              <w:br/>
            </w:r>
            <w:r w:rsidRPr="00526E7D">
              <w:rPr>
                <w:rFonts w:cstheme="minorHAnsi"/>
                <w:color w:val="000000"/>
              </w:rPr>
              <w:br/>
              <w:t>• Effective compliance systems</w:t>
            </w:r>
            <w:r w:rsidRPr="00526E7D">
              <w:rPr>
                <w:rFonts w:cstheme="minorHAnsi"/>
                <w:color w:val="000000"/>
              </w:rPr>
              <w:br/>
              <w:t>• Management is compliance orientated</w:t>
            </w:r>
          </w:p>
        </w:tc>
        <w:tc>
          <w:tcPr>
            <w:tcW w:w="2462" w:type="dxa"/>
            <w:tcBorders>
              <w:top w:val="nil"/>
              <w:left w:val="nil"/>
              <w:bottom w:val="nil"/>
              <w:right w:val="nil"/>
            </w:tcBorders>
            <w:shd w:val="clear" w:color="000000" w:fill="B4C6E7"/>
            <w:hideMark/>
          </w:tcPr>
          <w:p w14:paraId="612CD47A" w14:textId="77777777" w:rsidR="0065455E" w:rsidRPr="00526E7D" w:rsidRDefault="0065455E" w:rsidP="00E97E6B">
            <w:pPr>
              <w:jc w:val="center"/>
              <w:rPr>
                <w:rFonts w:cstheme="minorHAnsi"/>
                <w:b/>
                <w:bCs/>
                <w:color w:val="000000"/>
              </w:rPr>
            </w:pPr>
            <w:r w:rsidRPr="00526E7D">
              <w:rPr>
                <w:rFonts w:cstheme="minorHAnsi"/>
                <w:b/>
                <w:bCs/>
                <w:color w:val="000000"/>
              </w:rPr>
              <w:t xml:space="preserve">Accidental </w:t>
            </w:r>
            <w:r w:rsidRPr="00526E7D">
              <w:rPr>
                <w:rFonts w:cstheme="minorHAnsi"/>
                <w:b/>
                <w:bCs/>
                <w:color w:val="000000"/>
              </w:rPr>
              <w:br/>
              <w:t>non-compliance</w:t>
            </w:r>
            <w:r w:rsidRPr="00526E7D">
              <w:rPr>
                <w:rFonts w:cstheme="minorHAnsi"/>
                <w:color w:val="000000"/>
              </w:rPr>
              <w:br/>
              <w:t>• Ineffective/or developing compliance</w:t>
            </w:r>
            <w:r w:rsidRPr="00526E7D">
              <w:rPr>
                <w:rFonts w:cstheme="minorHAnsi"/>
                <w:color w:val="000000"/>
              </w:rPr>
              <w:br/>
              <w:t>• Compliance orientated but lacks capability systems</w:t>
            </w:r>
          </w:p>
        </w:tc>
        <w:tc>
          <w:tcPr>
            <w:tcW w:w="2643" w:type="dxa"/>
            <w:tcBorders>
              <w:top w:val="nil"/>
              <w:left w:val="nil"/>
              <w:bottom w:val="nil"/>
              <w:right w:val="nil"/>
            </w:tcBorders>
            <w:shd w:val="clear" w:color="000000" w:fill="D9E1F2"/>
            <w:hideMark/>
          </w:tcPr>
          <w:p w14:paraId="0FE034C6" w14:textId="77777777" w:rsidR="0065455E" w:rsidRPr="00526E7D" w:rsidRDefault="0065455E" w:rsidP="00E97E6B">
            <w:pPr>
              <w:jc w:val="center"/>
              <w:rPr>
                <w:rFonts w:cstheme="minorHAnsi"/>
                <w:b/>
                <w:bCs/>
                <w:color w:val="000000"/>
              </w:rPr>
            </w:pPr>
            <w:r w:rsidRPr="00526E7D">
              <w:rPr>
                <w:rFonts w:cstheme="minorHAnsi"/>
                <w:b/>
                <w:bCs/>
                <w:color w:val="000000"/>
              </w:rPr>
              <w:t xml:space="preserve">Opportunistic </w:t>
            </w:r>
            <w:r w:rsidRPr="00526E7D">
              <w:rPr>
                <w:rFonts w:cstheme="minorHAnsi"/>
                <w:b/>
                <w:bCs/>
                <w:color w:val="000000"/>
              </w:rPr>
              <w:br/>
              <w:t>non-compliance</w:t>
            </w:r>
            <w:r w:rsidRPr="00526E7D">
              <w:rPr>
                <w:rFonts w:cstheme="minorHAnsi"/>
                <w:color w:val="000000"/>
              </w:rPr>
              <w:br/>
              <w:t>• Resistant to compliance</w:t>
            </w:r>
            <w:r w:rsidRPr="00526E7D">
              <w:rPr>
                <w:rFonts w:cstheme="minorHAnsi"/>
                <w:color w:val="000000"/>
              </w:rPr>
              <w:br/>
              <w:t>• Limited or poor compliance systems</w:t>
            </w:r>
            <w:r w:rsidRPr="00526E7D">
              <w:rPr>
                <w:rFonts w:cstheme="minorHAnsi"/>
                <w:color w:val="000000"/>
              </w:rPr>
              <w:br/>
              <w:t>• Management not compliance orientated</w:t>
            </w:r>
          </w:p>
        </w:tc>
        <w:tc>
          <w:tcPr>
            <w:tcW w:w="2582" w:type="dxa"/>
            <w:tcBorders>
              <w:top w:val="nil"/>
              <w:left w:val="nil"/>
              <w:bottom w:val="nil"/>
              <w:right w:val="nil"/>
            </w:tcBorders>
            <w:shd w:val="clear" w:color="000000" w:fill="EDEDED"/>
            <w:hideMark/>
          </w:tcPr>
          <w:p w14:paraId="27554B5A" w14:textId="77777777" w:rsidR="0065455E" w:rsidRPr="00526E7D" w:rsidRDefault="0065455E" w:rsidP="00E97E6B">
            <w:pPr>
              <w:jc w:val="center"/>
              <w:rPr>
                <w:rFonts w:cstheme="minorHAnsi"/>
                <w:b/>
                <w:bCs/>
                <w:color w:val="000000"/>
              </w:rPr>
            </w:pPr>
            <w:r w:rsidRPr="00526E7D">
              <w:rPr>
                <w:rFonts w:cstheme="minorHAnsi"/>
                <w:b/>
                <w:bCs/>
                <w:color w:val="000000"/>
              </w:rPr>
              <w:t xml:space="preserve">Intentional </w:t>
            </w:r>
            <w:r w:rsidRPr="00526E7D">
              <w:rPr>
                <w:rFonts w:cstheme="minorHAnsi"/>
                <w:b/>
                <w:bCs/>
                <w:color w:val="000000"/>
              </w:rPr>
              <w:br/>
              <w:t>non-compliance</w:t>
            </w:r>
            <w:r w:rsidRPr="00526E7D">
              <w:rPr>
                <w:rFonts w:cstheme="minorHAnsi"/>
                <w:color w:val="000000"/>
              </w:rPr>
              <w:br/>
              <w:t>• Deliberate non-compliance</w:t>
            </w:r>
            <w:r w:rsidRPr="00526E7D">
              <w:rPr>
                <w:rFonts w:cstheme="minorHAnsi"/>
                <w:color w:val="000000"/>
              </w:rPr>
              <w:br/>
              <w:t>• Non-compliant systems</w:t>
            </w:r>
            <w:r w:rsidRPr="00526E7D">
              <w:rPr>
                <w:rFonts w:cstheme="minorHAnsi"/>
                <w:color w:val="000000"/>
              </w:rPr>
              <w:br/>
              <w:t>• Criminal intent</w:t>
            </w:r>
          </w:p>
        </w:tc>
      </w:tr>
      <w:tr w:rsidR="0065455E" w:rsidRPr="00526E7D" w14:paraId="258AADC7" w14:textId="77777777" w:rsidTr="0065455E">
        <w:trPr>
          <w:trHeight w:val="484"/>
        </w:trPr>
        <w:tc>
          <w:tcPr>
            <w:tcW w:w="2522" w:type="dxa"/>
            <w:tcBorders>
              <w:top w:val="nil"/>
              <w:left w:val="nil"/>
              <w:bottom w:val="nil"/>
              <w:right w:val="nil"/>
            </w:tcBorders>
            <w:shd w:val="clear" w:color="auto" w:fill="BCD23A"/>
            <w:vAlign w:val="center"/>
            <w:hideMark/>
          </w:tcPr>
          <w:p w14:paraId="264A19F1" w14:textId="77777777" w:rsidR="0065455E" w:rsidRPr="00526E7D" w:rsidRDefault="0065455E" w:rsidP="00E97E6B">
            <w:pPr>
              <w:jc w:val="center"/>
              <w:rPr>
                <w:rFonts w:cstheme="minorHAnsi"/>
                <w:b/>
                <w:bCs/>
                <w:i/>
                <w:iCs/>
                <w:color w:val="000000"/>
              </w:rPr>
            </w:pPr>
            <w:r w:rsidRPr="00526E7D">
              <w:rPr>
                <w:rFonts w:cstheme="minorHAnsi"/>
                <w:b/>
                <w:bCs/>
                <w:i/>
                <w:iCs/>
                <w:color w:val="000000"/>
              </w:rPr>
              <w:t>“Committed to do the right thing”</w:t>
            </w:r>
          </w:p>
        </w:tc>
        <w:tc>
          <w:tcPr>
            <w:tcW w:w="2462" w:type="dxa"/>
            <w:tcBorders>
              <w:top w:val="nil"/>
              <w:left w:val="nil"/>
              <w:bottom w:val="nil"/>
              <w:right w:val="nil"/>
            </w:tcBorders>
            <w:shd w:val="clear" w:color="000000" w:fill="8EA9DB"/>
            <w:vAlign w:val="center"/>
            <w:hideMark/>
          </w:tcPr>
          <w:p w14:paraId="03D20221" w14:textId="77777777" w:rsidR="0065455E" w:rsidRPr="00526E7D" w:rsidRDefault="0065455E" w:rsidP="00E97E6B">
            <w:pPr>
              <w:jc w:val="center"/>
              <w:rPr>
                <w:rFonts w:cstheme="minorHAnsi"/>
                <w:b/>
                <w:bCs/>
                <w:i/>
                <w:iCs/>
                <w:color w:val="000000"/>
              </w:rPr>
            </w:pPr>
            <w:r w:rsidRPr="00526E7D">
              <w:rPr>
                <w:rFonts w:cstheme="minorHAnsi"/>
                <w:b/>
                <w:bCs/>
                <w:i/>
                <w:iCs/>
                <w:color w:val="000000"/>
              </w:rPr>
              <w:t>“Trying to do the right thing but don’t always succeed”</w:t>
            </w:r>
          </w:p>
        </w:tc>
        <w:tc>
          <w:tcPr>
            <w:tcW w:w="2643" w:type="dxa"/>
            <w:tcBorders>
              <w:top w:val="nil"/>
              <w:left w:val="nil"/>
              <w:bottom w:val="nil"/>
              <w:right w:val="nil"/>
            </w:tcBorders>
            <w:shd w:val="clear" w:color="000000" w:fill="B4C6E7"/>
            <w:vAlign w:val="center"/>
            <w:hideMark/>
          </w:tcPr>
          <w:p w14:paraId="2AA85BB8" w14:textId="77777777" w:rsidR="0065455E" w:rsidRPr="00526E7D" w:rsidRDefault="0065455E" w:rsidP="00E97E6B">
            <w:pPr>
              <w:jc w:val="center"/>
              <w:rPr>
                <w:rFonts w:cstheme="minorHAnsi"/>
                <w:b/>
                <w:bCs/>
                <w:i/>
                <w:iCs/>
                <w:color w:val="000000"/>
              </w:rPr>
            </w:pPr>
            <w:r w:rsidRPr="00526E7D">
              <w:rPr>
                <w:rFonts w:cstheme="minorHAnsi"/>
                <w:b/>
                <w:bCs/>
                <w:i/>
                <w:iCs/>
                <w:color w:val="000000"/>
              </w:rPr>
              <w:t>“Don’t want to comply but will if made to”</w:t>
            </w:r>
          </w:p>
        </w:tc>
        <w:tc>
          <w:tcPr>
            <w:tcW w:w="2582" w:type="dxa"/>
            <w:tcBorders>
              <w:top w:val="nil"/>
              <w:left w:val="nil"/>
              <w:bottom w:val="nil"/>
              <w:right w:val="nil"/>
            </w:tcBorders>
            <w:shd w:val="clear" w:color="000000" w:fill="C9C9C9"/>
            <w:vAlign w:val="center"/>
            <w:hideMark/>
          </w:tcPr>
          <w:p w14:paraId="17D3705F" w14:textId="77777777" w:rsidR="0065455E" w:rsidRPr="00526E7D" w:rsidRDefault="0065455E" w:rsidP="00E97E6B">
            <w:pPr>
              <w:jc w:val="center"/>
              <w:rPr>
                <w:rFonts w:cstheme="minorHAnsi"/>
                <w:b/>
                <w:bCs/>
                <w:i/>
                <w:iCs/>
                <w:color w:val="000000"/>
              </w:rPr>
            </w:pPr>
            <w:r w:rsidRPr="00526E7D">
              <w:rPr>
                <w:rFonts w:cstheme="minorHAnsi"/>
                <w:b/>
                <w:bCs/>
                <w:i/>
                <w:iCs/>
                <w:color w:val="000000"/>
              </w:rPr>
              <w:t xml:space="preserve">“Decision to be </w:t>
            </w:r>
            <w:r w:rsidRPr="00526E7D">
              <w:rPr>
                <w:rFonts w:cstheme="minorHAnsi"/>
                <w:b/>
                <w:bCs/>
                <w:i/>
                <w:iCs/>
                <w:color w:val="000000"/>
              </w:rPr>
              <w:br/>
              <w:t>non-compliant”</w:t>
            </w:r>
          </w:p>
        </w:tc>
      </w:tr>
      <w:tr w:rsidR="0065455E" w:rsidRPr="00526E7D" w14:paraId="39290F67" w14:textId="77777777" w:rsidTr="00526E7D">
        <w:trPr>
          <w:trHeight w:val="126"/>
        </w:trPr>
        <w:tc>
          <w:tcPr>
            <w:tcW w:w="10209" w:type="dxa"/>
            <w:gridSpan w:val="4"/>
            <w:tcBorders>
              <w:top w:val="nil"/>
              <w:left w:val="nil"/>
              <w:bottom w:val="nil"/>
              <w:right w:val="nil"/>
            </w:tcBorders>
            <w:shd w:val="clear" w:color="000000" w:fill="002060"/>
            <w:vAlign w:val="bottom"/>
            <w:hideMark/>
          </w:tcPr>
          <w:p w14:paraId="543966C9" w14:textId="77777777" w:rsidR="0065455E" w:rsidRPr="00526E7D" w:rsidRDefault="0065455E" w:rsidP="00526E7D">
            <w:pPr>
              <w:spacing w:after="0" w:line="240" w:lineRule="auto"/>
              <w:jc w:val="center"/>
              <w:rPr>
                <w:rFonts w:cstheme="minorHAnsi"/>
                <w:b/>
                <w:bCs/>
                <w:color w:val="000000"/>
              </w:rPr>
            </w:pPr>
            <w:r w:rsidRPr="00526E7D">
              <w:rPr>
                <w:rFonts w:cstheme="minorHAnsi"/>
                <w:color w:val="000000"/>
              </w:rPr>
              <w:t> </w:t>
            </w:r>
          </w:p>
        </w:tc>
      </w:tr>
    </w:tbl>
    <w:p w14:paraId="23CCF366" w14:textId="77777777" w:rsidR="0065455E" w:rsidRDefault="0065455E" w:rsidP="00D37A37">
      <w:pPr>
        <w:spacing w:after="160"/>
        <w:rPr>
          <w:rFonts w:cstheme="minorHAnsi"/>
          <w:color w:val="202122"/>
          <w:shd w:val="clear" w:color="auto" w:fill="FFFFFF"/>
        </w:rPr>
      </w:pPr>
    </w:p>
    <w:p w14:paraId="39E3044A" w14:textId="08A255D1" w:rsidR="00D37A37" w:rsidRPr="00F57987" w:rsidRDefault="00D37A37" w:rsidP="009B39C2">
      <w:pPr>
        <w:pageBreakBefore/>
        <w:spacing w:after="160"/>
        <w:rPr>
          <w:rFonts w:cstheme="minorHAnsi"/>
          <w:b/>
          <w:bCs/>
          <w:color w:val="202122"/>
          <w:shd w:val="clear" w:color="auto" w:fill="FFFFFF"/>
        </w:rPr>
      </w:pPr>
      <w:r w:rsidRPr="00F57987">
        <w:rPr>
          <w:rFonts w:cstheme="minorHAnsi"/>
          <w:color w:val="202122"/>
          <w:shd w:val="clear" w:color="auto" w:fill="FFFFFF"/>
        </w:rPr>
        <w:lastRenderedPageBreak/>
        <w:t xml:space="preserve">The ODC will apply the below compliance principles </w:t>
      </w:r>
      <w:r w:rsidR="00531DCD">
        <w:rPr>
          <w:rFonts w:cstheme="minorHAnsi"/>
          <w:color w:val="202122"/>
          <w:shd w:val="clear" w:color="auto" w:fill="FFFFFF"/>
        </w:rPr>
        <w:t>when undertaking</w:t>
      </w:r>
      <w:r w:rsidRPr="00F57987">
        <w:rPr>
          <w:rFonts w:cstheme="minorHAnsi"/>
          <w:color w:val="202122"/>
          <w:shd w:val="clear" w:color="auto" w:fill="FFFFFF"/>
        </w:rPr>
        <w:t xml:space="preserve"> its monitoring and compliance activities: </w:t>
      </w:r>
    </w:p>
    <w:p w14:paraId="55285EF4" w14:textId="77777777" w:rsidR="00D37A37" w:rsidRPr="00F57987" w:rsidRDefault="00D37A37" w:rsidP="00D37A37">
      <w:pPr>
        <w:shd w:val="clear" w:color="auto" w:fill="FFFFFF"/>
        <w:tabs>
          <w:tab w:val="left" w:pos="2127"/>
        </w:tabs>
        <w:spacing w:after="120"/>
        <w:ind w:left="426"/>
        <w:rPr>
          <w:rFonts w:cstheme="minorHAnsi"/>
          <w:b/>
          <w:bCs/>
          <w:color w:val="202122"/>
          <w:shd w:val="clear" w:color="auto" w:fill="FFFFFF"/>
        </w:rPr>
      </w:pPr>
      <w:r w:rsidRPr="00F57987">
        <w:rPr>
          <w:rFonts w:cstheme="minorHAnsi"/>
          <w:b/>
          <w:bCs/>
          <w:color w:val="202122"/>
          <w:shd w:val="clear" w:color="auto" w:fill="FFFFFF"/>
        </w:rPr>
        <w:t>Proportionality</w:t>
      </w:r>
      <w:r w:rsidRPr="00F57987">
        <w:rPr>
          <w:rFonts w:cstheme="minorHAnsi"/>
          <w:color w:val="202122"/>
          <w:shd w:val="clear" w:color="auto" w:fill="FFFFFF"/>
        </w:rPr>
        <w:tab/>
        <w:t>The action we take is proportional to the seriousness of the non-compliance.</w:t>
      </w:r>
    </w:p>
    <w:p w14:paraId="08CF88D7" w14:textId="77777777" w:rsidR="00D37A37" w:rsidRPr="00F57987" w:rsidRDefault="00D37A37" w:rsidP="00D37A37">
      <w:pPr>
        <w:shd w:val="clear" w:color="auto" w:fill="FFFFFF"/>
        <w:tabs>
          <w:tab w:val="left" w:pos="2127"/>
        </w:tabs>
        <w:spacing w:after="120"/>
        <w:ind w:left="426"/>
        <w:rPr>
          <w:rFonts w:cstheme="minorHAnsi"/>
          <w:b/>
          <w:bCs/>
          <w:color w:val="202122"/>
          <w:shd w:val="clear" w:color="auto" w:fill="FFFFFF"/>
        </w:rPr>
      </w:pPr>
      <w:r w:rsidRPr="00F57987">
        <w:rPr>
          <w:rFonts w:cstheme="minorHAnsi"/>
          <w:b/>
          <w:bCs/>
          <w:color w:val="202122"/>
          <w:shd w:val="clear" w:color="auto" w:fill="FFFFFF"/>
        </w:rPr>
        <w:t>Consistency</w:t>
      </w:r>
      <w:r w:rsidRPr="00F57987">
        <w:rPr>
          <w:rFonts w:cstheme="minorHAnsi"/>
          <w:color w:val="202122"/>
          <w:shd w:val="clear" w:color="auto" w:fill="FFFFFF"/>
        </w:rPr>
        <w:t xml:space="preserve"> </w:t>
      </w:r>
      <w:r w:rsidRPr="00F57987">
        <w:rPr>
          <w:rFonts w:cstheme="minorHAnsi"/>
          <w:color w:val="202122"/>
          <w:shd w:val="clear" w:color="auto" w:fill="FFFFFF"/>
        </w:rPr>
        <w:tab/>
        <w:t>We ensure our decisions and actions are consistent.</w:t>
      </w:r>
    </w:p>
    <w:p w14:paraId="1CC15D8D" w14:textId="77777777" w:rsidR="00D37A37" w:rsidRPr="00F57987" w:rsidRDefault="00D37A37" w:rsidP="00D37A37">
      <w:pPr>
        <w:shd w:val="clear" w:color="auto" w:fill="FFFFFF"/>
        <w:tabs>
          <w:tab w:val="left" w:pos="2127"/>
        </w:tabs>
        <w:spacing w:after="120"/>
        <w:ind w:left="426"/>
        <w:rPr>
          <w:rFonts w:cstheme="minorHAnsi"/>
          <w:b/>
          <w:bCs/>
          <w:color w:val="202122"/>
          <w:shd w:val="clear" w:color="auto" w:fill="FFFFFF"/>
        </w:rPr>
      </w:pPr>
      <w:r w:rsidRPr="00F57987">
        <w:rPr>
          <w:rFonts w:cstheme="minorHAnsi"/>
          <w:b/>
          <w:bCs/>
          <w:color w:val="202122"/>
          <w:shd w:val="clear" w:color="auto" w:fill="FFFFFF"/>
        </w:rPr>
        <w:t>Transparency</w:t>
      </w:r>
      <w:r w:rsidRPr="00F57987">
        <w:rPr>
          <w:rFonts w:cstheme="minorHAnsi"/>
          <w:color w:val="202122"/>
          <w:shd w:val="clear" w:color="auto" w:fill="FFFFFF"/>
        </w:rPr>
        <w:t xml:space="preserve"> </w:t>
      </w:r>
      <w:r w:rsidRPr="00F57987">
        <w:rPr>
          <w:rFonts w:cstheme="minorHAnsi"/>
          <w:color w:val="202122"/>
          <w:shd w:val="clear" w:color="auto" w:fill="FFFFFF"/>
        </w:rPr>
        <w:tab/>
        <w:t>We publish general information on how to comply with the legislation.</w:t>
      </w:r>
    </w:p>
    <w:p w14:paraId="412E9B9A" w14:textId="1C095A31" w:rsidR="00D37A37" w:rsidRPr="00F57987" w:rsidRDefault="00D37A37" w:rsidP="00916BDD">
      <w:pPr>
        <w:shd w:val="clear" w:color="auto" w:fill="FFFFFF"/>
        <w:tabs>
          <w:tab w:val="left" w:pos="2127"/>
        </w:tabs>
        <w:spacing w:after="120"/>
        <w:ind w:left="2127" w:hanging="1701"/>
        <w:rPr>
          <w:rFonts w:cstheme="minorHAnsi"/>
          <w:b/>
          <w:bCs/>
          <w:color w:val="202122"/>
          <w:shd w:val="clear" w:color="auto" w:fill="FFFFFF"/>
        </w:rPr>
      </w:pPr>
      <w:r w:rsidRPr="00F57987">
        <w:rPr>
          <w:rFonts w:cstheme="minorHAnsi"/>
          <w:b/>
          <w:bCs/>
          <w:color w:val="202122"/>
          <w:shd w:val="clear" w:color="auto" w:fill="FFFFFF"/>
        </w:rPr>
        <w:t xml:space="preserve">Confidentiality </w:t>
      </w:r>
      <w:r w:rsidRPr="00F57987">
        <w:rPr>
          <w:rFonts w:cstheme="minorHAnsi"/>
          <w:color w:val="202122"/>
          <w:shd w:val="clear" w:color="auto" w:fill="FFFFFF"/>
        </w:rPr>
        <w:tab/>
        <w:t xml:space="preserve">We keep </w:t>
      </w:r>
      <w:r w:rsidR="001A3B0E">
        <w:rPr>
          <w:rFonts w:cstheme="minorHAnsi"/>
          <w:color w:val="202122"/>
          <w:shd w:val="clear" w:color="auto" w:fill="FFFFFF"/>
        </w:rPr>
        <w:t>y</w:t>
      </w:r>
      <w:r w:rsidRPr="00F57987">
        <w:rPr>
          <w:rFonts w:cstheme="minorHAnsi"/>
          <w:color w:val="202122"/>
          <w:shd w:val="clear" w:color="auto" w:fill="FFFFFF"/>
        </w:rPr>
        <w:t xml:space="preserve">our information confidential </w:t>
      </w:r>
      <w:r w:rsidR="00531DCD">
        <w:rPr>
          <w:rFonts w:cstheme="minorHAnsi"/>
          <w:color w:val="202122"/>
          <w:shd w:val="clear" w:color="auto" w:fill="FFFFFF"/>
        </w:rPr>
        <w:t xml:space="preserve">while </w:t>
      </w:r>
      <w:r w:rsidRPr="00F57987">
        <w:rPr>
          <w:rFonts w:cstheme="minorHAnsi"/>
          <w:color w:val="202122"/>
          <w:shd w:val="clear" w:color="auto" w:fill="FFFFFF"/>
        </w:rPr>
        <w:t>investigating complaints</w:t>
      </w:r>
      <w:r w:rsidR="00B83535">
        <w:rPr>
          <w:rFonts w:cstheme="minorHAnsi"/>
          <w:color w:val="202122"/>
          <w:shd w:val="clear" w:color="auto" w:fill="FFFFFF"/>
        </w:rPr>
        <w:t>, however</w:t>
      </w:r>
      <w:r w:rsidR="00045FC0">
        <w:rPr>
          <w:rFonts w:cstheme="minorHAnsi"/>
          <w:color w:val="202122"/>
          <w:shd w:val="clear" w:color="auto" w:fill="FFFFFF"/>
        </w:rPr>
        <w:t>,</w:t>
      </w:r>
      <w:r w:rsidR="00B83535">
        <w:rPr>
          <w:rFonts w:cstheme="minorHAnsi"/>
          <w:color w:val="202122"/>
          <w:shd w:val="clear" w:color="auto" w:fill="FFFFFF"/>
        </w:rPr>
        <w:t xml:space="preserve"> may publish enforcement outcomes and significant decisions where in the public interest to do so</w:t>
      </w:r>
      <w:r w:rsidRPr="00F57987">
        <w:rPr>
          <w:rFonts w:cstheme="minorHAnsi"/>
          <w:color w:val="202122"/>
          <w:shd w:val="clear" w:color="auto" w:fill="FFFFFF"/>
        </w:rPr>
        <w:t>.</w:t>
      </w:r>
    </w:p>
    <w:p w14:paraId="34143152" w14:textId="7DCF2B99" w:rsidR="00D37A37" w:rsidRPr="00DE7790" w:rsidRDefault="00D37A37" w:rsidP="00A14568">
      <w:pPr>
        <w:shd w:val="clear" w:color="auto" w:fill="FFFFFF"/>
        <w:tabs>
          <w:tab w:val="left" w:pos="2127"/>
        </w:tabs>
        <w:spacing w:after="120"/>
        <w:ind w:left="2127" w:hanging="1701"/>
        <w:rPr>
          <w:rFonts w:cstheme="minorHAnsi"/>
          <w:b/>
          <w:bCs/>
          <w:shd w:val="clear" w:color="auto" w:fill="FFFFFF"/>
        </w:rPr>
      </w:pPr>
      <w:r w:rsidRPr="00F57987">
        <w:rPr>
          <w:rFonts w:cstheme="minorHAnsi"/>
          <w:b/>
          <w:bCs/>
          <w:color w:val="202122"/>
          <w:shd w:val="clear" w:color="auto" w:fill="FFFFFF"/>
        </w:rPr>
        <w:t>Timeliness</w:t>
      </w:r>
      <w:r w:rsidRPr="00F57987">
        <w:rPr>
          <w:rFonts w:cstheme="minorHAnsi"/>
          <w:color w:val="202122"/>
          <w:shd w:val="clear" w:color="auto" w:fill="FFFFFF"/>
        </w:rPr>
        <w:tab/>
        <w:t xml:space="preserve">We investigate efficiently </w:t>
      </w:r>
      <w:r w:rsidR="00841E5E">
        <w:rPr>
          <w:rFonts w:cstheme="minorHAnsi"/>
          <w:color w:val="202122"/>
          <w:shd w:val="clear" w:color="auto" w:fill="FFFFFF"/>
        </w:rPr>
        <w:t xml:space="preserve">and </w:t>
      </w:r>
      <w:r w:rsidR="002E7D87">
        <w:rPr>
          <w:rFonts w:cstheme="minorHAnsi"/>
          <w:color w:val="202122"/>
          <w:shd w:val="clear" w:color="auto" w:fill="FFFFFF"/>
        </w:rPr>
        <w:t xml:space="preserve">do </w:t>
      </w:r>
      <w:r w:rsidR="00841E5E">
        <w:rPr>
          <w:rFonts w:cstheme="minorHAnsi"/>
          <w:color w:val="202122"/>
          <w:shd w:val="clear" w:color="auto" w:fill="FFFFFF"/>
        </w:rPr>
        <w:t xml:space="preserve">not unnecessarily impede operations. </w:t>
      </w:r>
    </w:p>
    <w:p w14:paraId="32F11B89" w14:textId="26275012" w:rsidR="00707CC0" w:rsidRPr="009B39C2" w:rsidRDefault="003A6737" w:rsidP="009B39C2">
      <w:pPr>
        <w:shd w:val="clear" w:color="auto" w:fill="FFFFFF"/>
        <w:tabs>
          <w:tab w:val="left" w:pos="2127"/>
        </w:tabs>
        <w:spacing w:after="120"/>
        <w:ind w:left="2127" w:hanging="1701"/>
        <w:rPr>
          <w:rFonts w:cstheme="minorHAnsi"/>
          <w:color w:val="202122"/>
          <w:shd w:val="clear" w:color="auto" w:fill="FFFFFF"/>
        </w:rPr>
      </w:pPr>
      <w:r>
        <w:rPr>
          <w:rFonts w:cstheme="minorHAnsi"/>
          <w:b/>
          <w:bCs/>
          <w:noProof/>
          <w:color w:val="202122"/>
        </w:rPr>
        <mc:AlternateContent>
          <mc:Choice Requires="wpi">
            <w:drawing>
              <wp:anchor distT="0" distB="0" distL="114300" distR="114300" simplePos="0" relativeHeight="251659264" behindDoc="0" locked="0" layoutInCell="1" allowOverlap="1" wp14:anchorId="309E9626" wp14:editId="6906EC14">
                <wp:simplePos x="0" y="0"/>
                <wp:positionH relativeFrom="column">
                  <wp:posOffset>10173405</wp:posOffset>
                </wp:positionH>
                <wp:positionV relativeFrom="paragraph">
                  <wp:posOffset>-526555</wp:posOffset>
                </wp:positionV>
                <wp:extent cx="219240" cy="1707840"/>
                <wp:effectExtent l="38100" t="38100" r="47625" b="45085"/>
                <wp:wrapNone/>
                <wp:docPr id="2" name="Ink 2"/>
                <wp:cNvGraphicFramePr/>
                <a:graphic xmlns:a="http://schemas.openxmlformats.org/drawingml/2006/main">
                  <a:graphicData uri="http://schemas.microsoft.com/office/word/2010/wordprocessingInk">
                    <w14:contentPart bwMode="auto" r:id="rId29">
                      <w14:nvContentPartPr>
                        <w14:cNvContentPartPr/>
                      </w14:nvContentPartPr>
                      <w14:xfrm>
                        <a:off x="0" y="0"/>
                        <a:ext cx="219240" cy="1707840"/>
                      </w14:xfrm>
                    </w14:contentPart>
                  </a:graphicData>
                </a:graphic>
              </wp:anchor>
            </w:drawing>
          </mc:Choice>
          <mc:Fallback>
            <w:pict>
              <v:shapetype w14:anchorId="7223BB6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800.35pt;margin-top:-42.15pt;width:18.65pt;height:135.9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n8JcSIAQAALQMAAA4AAABkcnMvZTJvRG9jLnhtbJxSy07DMBC8I/EP&#10;1t5pHmqhjZpyoELiAPQAH2Acu7GIvdHabcrfs+mDtiCExCXyepzZmZ2d3m5cI9aagkVfQjZIQWiv&#10;sLJ+WcLry/3VGESI0leyQa9L+NABbmeXF9OuLXSONTaVJsEkPhRdW0IdY1skSVC1djIMsNWeQYPk&#10;ZOSSlklFsmN21yR5ml4nHVLVEiodAt/OdyDMtvzGaBWfjQk6iqaESZqyvHg4UAnjcToC8caHyfUI&#10;ktlUFkuSbW3VXpL8hyInrWcBX1RzGaVYkf1B5awiDGjiQKFL0Bir9NYPO8vSb84e/HvvKhuqFRUK&#10;fdQ+LiTFw+y2wH9auIYn0D1ixenIVUTYM/J4/g5jJ3qOauVYzy4R0o2MvA6htm0AQYWtSqCHKjvq&#10;9+u7o4MFHX09rRck+vc5CC8dS2LfIu+jOVh/Ov+XkWQP/ca6MeT6PFis2JTAO/DRf7dx600Uii/z&#10;bJIPGVEMZTfpzZiLE+odxaHRyfi5+1nQp3Wv7GTLZ58AAAD//wMAUEsDBBQABgAIAAAAIQAUrjXY&#10;+QIAABYIAAAQAAAAZHJzL2luay9pbmsxLnhtbLRUW2vbMBR+H+w/HLSHvESJbpbt0LTsoYXBxsba&#10;wfboJmpiGtvBVpr23+9I8qUsTmGwEZJI+s75zncu0sXVc7GDJ1M3eVUuCZ8xAqZcVeu83CzJj7sb&#10;mhBobFaus11VmiV5MQ25unz/7iIvH4vdAn8BGcrGrYrdkmyt3S/m8+PxODvKWVVv5oIxOf9UPn75&#10;TC5br7V5yMvcYsimO1pVpTXP1pEt8vWSrOwz6+2R+7Y61CvTw+6kXg0Wts5W5qaqi8z2jNusLM0O&#10;yqxA3T8J2Jc9LnKMszE1gSLHhKmYcRWr5DrFg+x5SV7tDyixQSUFmY9z/voPnDennE6WFLGOCbSS&#10;1ubpnKavH88QaOxs774563497p6eeM99wxfnC/+trvamtrkZehw60gIvsAp735zQpdo01e7gBoPA&#10;U7Y7YL84Y0NsPh/pxikfNuaf8mFTzvK9FjfWl1N1rkVn6f5Id21OWzXCiF37S8a2fW0LWkrfqxbp&#10;71w3+zYvDL4Exb6/hLbB5N3xra39eyGYEJSllOk7phacLZieiSRyw9bFC9e847yvD82257uvhwvt&#10;kT7TkNwxX9ttPxhsxqJ+pF+PxZjr1uSbrX3LtxXonXu5Iw+VH3hon6vv5mFJPvi3CrxnOPCJ8DgC&#10;fFok6DjlwIBNJ5RL/OqJlGLCJmxKWPeZMsppsBL4H1boEz5T3Leoswro2BkLGMaiEZWdD5WKCimB&#10;p7H2QqQCrjRNmfDblAqhuuhILznVIlhSBVpRpVXwi2kUxcATkfo9FQkotOaKB/NIUxk7FxnwCCST&#10;NE18HlNUgXiSBExrEGlCW0kixcKgiCiYOmaepMCjEElhVbh3dLmJCDh3Qj2TRgEsckuHOadYgAqp&#10;oRuVHps6vK1ryNVZD0Uc4A5FfIAxBhYwhMDqpVS2BcJwkoq4h9AqDpq50wychXxdg0MVkQor6qm8&#10;5kDqCfxyWA3w26vBA7W3G9TerRgIGukgSkBMY+mL091JP9H9yOO9v/wNAAD//wMAUEsDBBQABgAI&#10;AAAAIQBHkenl3wAAAA0BAAAPAAAAZHJzL2Rvd25yZXYueG1sTI89T8MwEIZ3JP6DdUhsrQ0FJ0rj&#10;VAgpCwtQWNic+PKhxnaI3ST8e64TbPfqHr0f+WG1A5txCr13Cu62Ahi62pvetQo+P8pNCixE7Ywe&#10;vEMFPxjgUFxf5TozfnHvOB9jy8jEhUwr6GIcM85D3aHVYetHdPRr/GR1JDm13Ex6IXM78HshJLe6&#10;d5TQ6RGfO6xPx7NV8CVN2dqmbJbXuW76xHzLt+pFqdub9WkPLOIa/2C41KfqUFCnyp+dCWwgLYVI&#10;iFWwSR92wC6I3KW0r6IrTR6BFzn/v6L4BQAA//8DAFBLAwQUAAYACAAAACEAeRi8nb8AAAAhAQAA&#10;GQAAAGRycy9fcmVscy9lMm9Eb2MueG1sLnJlbHOEz7FqxDAMBuC90Hcw2hslHcpR4mQ5DrKWFG41&#10;jpKYxLKxnNJ7+3rswcENGoTQ90tt/+t39UNJXGANTVWDIrZhcrxo+B4vbydQkg1PZg9MGm4k0Hev&#10;L+0X7SaXJVldFFUUFg1rzvETUexK3kgVInGZzCF5k0ubFozGbmYhfK/rD0z/DejuTDVMGtIwNaDG&#10;WyzJz+0wz87SOdjDE+cHEWgPycFf/V5QkxbKGhxvWKqpyqGAXYt3j3V/AAAA//8DAFBLAQItABQA&#10;BgAIAAAAIQCbMyc3DAEAAC0CAAATAAAAAAAAAAAAAAAAAAAAAABbQ29udGVudF9UeXBlc10ueG1s&#10;UEsBAi0AFAAGAAgAAAAhADj9If/WAAAAlAEAAAsAAAAAAAAAAAAAAAAAPQEAAF9yZWxzLy5yZWxz&#10;UEsBAi0AFAAGAAgAAAAhADn8JcSIAQAALQMAAA4AAAAAAAAAAAAAAAAAPAIAAGRycy9lMm9Eb2Mu&#10;eG1sUEsBAi0AFAAGAAgAAAAhABSuNdj5AgAAFggAABAAAAAAAAAAAAAAAAAA8AMAAGRycy9pbmsv&#10;aW5rMS54bWxQSwECLQAUAAYACAAAACEAR5Hp5d8AAAANAQAADwAAAAAAAAAAAAAAAAAXBwAAZHJz&#10;L2Rvd25yZXYueG1sUEsBAi0AFAAGAAgAAAAhAHkYvJ2/AAAAIQEAABkAAAAAAAAAAAAAAAAAIwgA&#10;AGRycy9fcmVscy9lMm9Eb2MueG1sLnJlbHNQSwUGAAAAAAYABgB4AQAAGQkAAAAA&#10;">
                <v:imagedata r:id="rId30" o:title=""/>
              </v:shape>
            </w:pict>
          </mc:Fallback>
        </mc:AlternateContent>
      </w:r>
      <w:r w:rsidR="00D37A37" w:rsidRPr="00F57987">
        <w:rPr>
          <w:rFonts w:cstheme="minorHAnsi"/>
          <w:b/>
          <w:bCs/>
          <w:color w:val="202122"/>
          <w:shd w:val="clear" w:color="auto" w:fill="FFFFFF"/>
        </w:rPr>
        <w:t>Fairness</w:t>
      </w:r>
      <w:r w:rsidR="00D37A37" w:rsidRPr="00F57987">
        <w:rPr>
          <w:rFonts w:cstheme="minorHAnsi"/>
          <w:color w:val="202122"/>
          <w:shd w:val="clear" w:color="auto" w:fill="FFFFFF"/>
        </w:rPr>
        <w:t xml:space="preserve"> </w:t>
      </w:r>
      <w:r w:rsidR="00D37A37" w:rsidRPr="00F57987">
        <w:rPr>
          <w:rFonts w:cstheme="minorHAnsi"/>
          <w:color w:val="202122"/>
          <w:shd w:val="clear" w:color="auto" w:fill="FFFFFF"/>
        </w:rPr>
        <w:tab/>
        <w:t>We undertake our activities with integrity, professionalism, and due regard to procedural fairness.</w:t>
      </w:r>
    </w:p>
    <w:p w14:paraId="549EA0B1" w14:textId="77777777" w:rsidR="0096519D" w:rsidRDefault="0096519D">
      <w:pPr>
        <w:rPr>
          <w:rFonts w:ascii="Arial" w:eastAsia="Times New Roman" w:hAnsi="Arial" w:cs="Arial"/>
          <w:bCs/>
          <w:iCs/>
          <w:color w:val="358189"/>
          <w:sz w:val="32"/>
          <w:szCs w:val="28"/>
        </w:rPr>
      </w:pPr>
      <w:r>
        <w:br w:type="page"/>
      </w:r>
    </w:p>
    <w:p w14:paraId="35D51D56" w14:textId="37ABCB2F" w:rsidR="00D37A37" w:rsidRPr="00F57987" w:rsidRDefault="00FA1B5E" w:rsidP="00D37A37">
      <w:pPr>
        <w:pStyle w:val="Heading2"/>
        <w:spacing w:after="240"/>
      </w:pPr>
      <w:bookmarkStart w:id="8" w:name="_Toc125715063"/>
      <w:r w:rsidRPr="00F57987">
        <w:lastRenderedPageBreak/>
        <w:t xml:space="preserve">4. </w:t>
      </w:r>
      <w:r w:rsidR="00D37A37" w:rsidRPr="00F57987">
        <w:t>Compliance Monitoring</w:t>
      </w:r>
      <w:bookmarkEnd w:id="8"/>
    </w:p>
    <w:p w14:paraId="4BD332E6" w14:textId="2D9C8ECA" w:rsidR="00D37A37" w:rsidRPr="00F57987" w:rsidRDefault="00D37A37" w:rsidP="00D37A37">
      <w:pPr>
        <w:pStyle w:val="Paragraphtext"/>
        <w:rPr>
          <w:rFonts w:asciiTheme="minorHAnsi" w:hAnsiTheme="minorHAnsi" w:cstheme="minorHAnsi"/>
          <w:b/>
          <w:bCs/>
          <w:color w:val="222222"/>
          <w:sz w:val="22"/>
          <w:szCs w:val="22"/>
        </w:rPr>
      </w:pPr>
      <w:r w:rsidRPr="00F57987">
        <w:rPr>
          <w:rFonts w:asciiTheme="minorHAnsi" w:hAnsiTheme="minorHAnsi" w:cstheme="minorHAnsi"/>
          <w:color w:val="222222"/>
          <w:sz w:val="22"/>
          <w:szCs w:val="22"/>
        </w:rPr>
        <w:t xml:space="preserve">A systematic, risk-based program of activities provides the ODC with a cost-effective approach to monitoring compliance, enables available resources to be targeted to higher priority regulatory risks, and allows for </w:t>
      </w:r>
      <w:r w:rsidR="00531DCD">
        <w:rPr>
          <w:rFonts w:asciiTheme="minorHAnsi" w:hAnsiTheme="minorHAnsi" w:cstheme="minorHAnsi"/>
          <w:color w:val="222222"/>
          <w:sz w:val="22"/>
          <w:szCs w:val="22"/>
        </w:rPr>
        <w:t xml:space="preserve">a </w:t>
      </w:r>
      <w:r w:rsidRPr="00F57987">
        <w:rPr>
          <w:rFonts w:asciiTheme="minorHAnsi" w:hAnsiTheme="minorHAnsi" w:cstheme="minorHAnsi"/>
          <w:color w:val="222222"/>
          <w:sz w:val="22"/>
          <w:szCs w:val="22"/>
        </w:rPr>
        <w:t xml:space="preserve">proactive response to changing and emerging threats. </w:t>
      </w:r>
    </w:p>
    <w:p w14:paraId="45B5305A" w14:textId="5CD93D4A" w:rsidR="00D37A37" w:rsidRPr="00F57987" w:rsidRDefault="00D37A37" w:rsidP="00D37A37">
      <w:pPr>
        <w:shd w:val="clear" w:color="auto" w:fill="FFFFFF"/>
        <w:spacing w:after="240"/>
        <w:rPr>
          <w:rFonts w:cstheme="minorHAnsi"/>
          <w:b/>
          <w:bCs/>
          <w:color w:val="222222"/>
        </w:rPr>
      </w:pPr>
      <w:r w:rsidRPr="00F57987">
        <w:rPr>
          <w:rFonts w:cstheme="minorHAnsi"/>
          <w:color w:val="222222"/>
        </w:rPr>
        <w:t>There are several ways that ODC can detect or receive information relating to non-compliance including through:</w:t>
      </w:r>
    </w:p>
    <w:p w14:paraId="530CCE1A" w14:textId="238D4B8A" w:rsidR="00D37A37" w:rsidRPr="0065455E" w:rsidRDefault="00D37A37" w:rsidP="009B39C2">
      <w:pPr>
        <w:pStyle w:val="ListBullet"/>
      </w:pPr>
      <w:r w:rsidRPr="0065455E">
        <w:t>self-reporting</w:t>
      </w:r>
      <w:r w:rsidR="003E7EB6">
        <w:t xml:space="preserve"> and notifying the </w:t>
      </w:r>
      <w:r w:rsidR="0054467D">
        <w:t>ODC</w:t>
      </w:r>
      <w:r w:rsidR="008272A3" w:rsidRPr="0065455E">
        <w:t>;</w:t>
      </w:r>
    </w:p>
    <w:p w14:paraId="4DF227D7" w14:textId="4982AC42" w:rsidR="001F535B" w:rsidRPr="0065455E" w:rsidRDefault="00D37A37" w:rsidP="009B39C2">
      <w:pPr>
        <w:pStyle w:val="ListBullet"/>
      </w:pPr>
      <w:r w:rsidRPr="0065455E">
        <w:t>inspections or assessment activities</w:t>
      </w:r>
      <w:r w:rsidR="001F535B" w:rsidRPr="0065455E">
        <w:t>;</w:t>
      </w:r>
      <w:r w:rsidRPr="0065455E">
        <w:t xml:space="preserve"> </w:t>
      </w:r>
    </w:p>
    <w:p w14:paraId="44F28F86" w14:textId="2CCD8BBC" w:rsidR="001F535B" w:rsidRPr="0065455E" w:rsidRDefault="00D37A37" w:rsidP="009B39C2">
      <w:pPr>
        <w:pStyle w:val="ListBullet"/>
      </w:pPr>
      <w:r w:rsidRPr="0065455E">
        <w:t>tip-offs via anonymous sources</w:t>
      </w:r>
      <w:r w:rsidR="001F535B" w:rsidRPr="0065455E">
        <w:t>;</w:t>
      </w:r>
    </w:p>
    <w:p w14:paraId="2D4BA8C4" w14:textId="2E05A244" w:rsidR="00D37A37" w:rsidRPr="0065455E" w:rsidRDefault="00D37A37" w:rsidP="009B39C2">
      <w:pPr>
        <w:pStyle w:val="ListBullet"/>
      </w:pPr>
      <w:r w:rsidRPr="0065455E">
        <w:t>referrals from industry bodies</w:t>
      </w:r>
      <w:r w:rsidR="002E7D87">
        <w:t xml:space="preserve"> or other third parties</w:t>
      </w:r>
      <w:r w:rsidR="008272A3" w:rsidRPr="0065455E">
        <w:t>;</w:t>
      </w:r>
    </w:p>
    <w:p w14:paraId="4A964191" w14:textId="2EBF4557" w:rsidR="00D37A37" w:rsidRPr="0065455E" w:rsidRDefault="00D37A37" w:rsidP="009B39C2">
      <w:pPr>
        <w:pStyle w:val="ListBullet"/>
      </w:pPr>
      <w:r w:rsidRPr="0065455E">
        <w:t>maintaining close relationships with law enforcement and other government agencies</w:t>
      </w:r>
      <w:r w:rsidR="008272A3" w:rsidRPr="0065455E">
        <w:t>;</w:t>
      </w:r>
      <w:r w:rsidRPr="0065455E">
        <w:t xml:space="preserve"> </w:t>
      </w:r>
    </w:p>
    <w:p w14:paraId="015E33C4" w14:textId="7AD3EEBF" w:rsidR="00D37A37" w:rsidRPr="0065455E" w:rsidRDefault="00D37A37" w:rsidP="009B39C2">
      <w:pPr>
        <w:pStyle w:val="ListBullet"/>
      </w:pPr>
      <w:r w:rsidRPr="0065455E">
        <w:t>sampling of narcotics to ensure they comply with licence and permit requirements</w:t>
      </w:r>
      <w:r w:rsidR="008272A3" w:rsidRPr="0065455E">
        <w:t>; and</w:t>
      </w:r>
    </w:p>
    <w:p w14:paraId="7994DF8D" w14:textId="69D7E391" w:rsidR="0065455E" w:rsidRPr="009B39C2" w:rsidRDefault="00D37A37" w:rsidP="009B39C2">
      <w:pPr>
        <w:pStyle w:val="ListBullet"/>
      </w:pPr>
      <w:r w:rsidRPr="0065455E">
        <w:t xml:space="preserve">regular requests for information from </w:t>
      </w:r>
      <w:r w:rsidR="0028184D" w:rsidRPr="0065455E">
        <w:t>various</w:t>
      </w:r>
      <w:r w:rsidRPr="0065455E">
        <w:t xml:space="preserve"> sources</w:t>
      </w:r>
      <w:r w:rsidR="0028184D" w:rsidRPr="0065455E">
        <w:t xml:space="preserve"> including regulated persons</w:t>
      </w:r>
      <w:r w:rsidRPr="0065455E">
        <w:t xml:space="preserve">. </w:t>
      </w:r>
    </w:p>
    <w:p w14:paraId="65144A3C" w14:textId="5855679D" w:rsidR="00D37A37" w:rsidRPr="00F57987" w:rsidRDefault="00D37A37" w:rsidP="00D37A37">
      <w:pPr>
        <w:pStyle w:val="Paragraphtext"/>
        <w:rPr>
          <w:rFonts w:asciiTheme="minorHAnsi" w:hAnsiTheme="minorHAnsi" w:cstheme="minorHAnsi"/>
          <w:b/>
          <w:bCs/>
          <w:color w:val="222222"/>
          <w:sz w:val="22"/>
          <w:szCs w:val="22"/>
        </w:rPr>
      </w:pPr>
      <w:r w:rsidRPr="00F57987">
        <w:rPr>
          <w:rFonts w:asciiTheme="minorHAnsi" w:hAnsiTheme="minorHAnsi" w:cstheme="minorHAnsi"/>
          <w:color w:val="222222"/>
          <w:sz w:val="22"/>
          <w:szCs w:val="22"/>
        </w:rPr>
        <w:t xml:space="preserve">Monitoring compliance through regularly reviewing information </w:t>
      </w:r>
      <w:r w:rsidR="00A61DD3">
        <w:rPr>
          <w:rFonts w:asciiTheme="minorHAnsi" w:hAnsiTheme="minorHAnsi" w:cstheme="minorHAnsi"/>
          <w:color w:val="222222"/>
          <w:sz w:val="22"/>
          <w:szCs w:val="22"/>
        </w:rPr>
        <w:t xml:space="preserve">received, </w:t>
      </w:r>
      <w:r w:rsidR="00A61DD3" w:rsidRPr="00F57987">
        <w:rPr>
          <w:rFonts w:asciiTheme="minorHAnsi" w:hAnsiTheme="minorHAnsi" w:cstheme="minorHAnsi"/>
          <w:color w:val="222222"/>
          <w:sz w:val="22"/>
          <w:szCs w:val="22"/>
        </w:rPr>
        <w:t>assists</w:t>
      </w:r>
      <w:r w:rsidRPr="00F57987">
        <w:rPr>
          <w:rFonts w:asciiTheme="minorHAnsi" w:hAnsiTheme="minorHAnsi" w:cstheme="minorHAnsi"/>
          <w:color w:val="222222"/>
          <w:sz w:val="22"/>
          <w:szCs w:val="22"/>
        </w:rPr>
        <w:t xml:space="preserve"> the ODC to identify trends or behaviours that can indicate non-compliance. Examining these trends provides insights into the level of regulatory compliance within industry allowing </w:t>
      </w:r>
      <w:r w:rsidR="00531DCD">
        <w:rPr>
          <w:rFonts w:asciiTheme="minorHAnsi" w:hAnsiTheme="minorHAnsi" w:cstheme="minorHAnsi"/>
          <w:color w:val="222222"/>
          <w:sz w:val="22"/>
          <w:szCs w:val="22"/>
        </w:rPr>
        <w:t>us</w:t>
      </w:r>
      <w:r w:rsidRPr="00F57987">
        <w:rPr>
          <w:rFonts w:asciiTheme="minorHAnsi" w:hAnsiTheme="minorHAnsi" w:cstheme="minorHAnsi"/>
          <w:color w:val="222222"/>
          <w:sz w:val="22"/>
          <w:szCs w:val="22"/>
        </w:rPr>
        <w:t xml:space="preserve"> to </w:t>
      </w:r>
      <w:r w:rsidR="00531DCD">
        <w:rPr>
          <w:rFonts w:asciiTheme="minorHAnsi" w:hAnsiTheme="minorHAnsi" w:cstheme="minorHAnsi"/>
          <w:color w:val="222222"/>
          <w:sz w:val="22"/>
          <w:szCs w:val="22"/>
        </w:rPr>
        <w:t>address</w:t>
      </w:r>
      <w:r w:rsidRPr="00F57987">
        <w:rPr>
          <w:rFonts w:asciiTheme="minorHAnsi" w:hAnsiTheme="minorHAnsi" w:cstheme="minorHAnsi"/>
          <w:color w:val="222222"/>
          <w:sz w:val="22"/>
          <w:szCs w:val="22"/>
        </w:rPr>
        <w:t>:</w:t>
      </w:r>
    </w:p>
    <w:p w14:paraId="5670C4C3" w14:textId="37F0162A" w:rsidR="00D37A37" w:rsidRPr="0065455E" w:rsidRDefault="00D37A37" w:rsidP="009B39C2">
      <w:pPr>
        <w:pStyle w:val="ListBullet"/>
      </w:pPr>
      <w:r w:rsidRPr="0065455E">
        <w:t>systemic issues across the industry requiring further education or support to help meet regulatory obligations</w:t>
      </w:r>
      <w:r w:rsidR="008272A3" w:rsidRPr="0065455E">
        <w:t>;</w:t>
      </w:r>
      <w:r w:rsidR="00531DCD" w:rsidRPr="0065455E">
        <w:t xml:space="preserve"> and</w:t>
      </w:r>
    </w:p>
    <w:p w14:paraId="3F3950A5" w14:textId="207CCF76" w:rsidR="00D37A37" w:rsidRPr="0065455E" w:rsidRDefault="00D37A37" w:rsidP="009B39C2">
      <w:pPr>
        <w:pStyle w:val="ListBullet"/>
      </w:pPr>
      <w:r w:rsidRPr="0065455E">
        <w:t>areas of non-compliant behaviour so that future compliance activities can target these risk areas</w:t>
      </w:r>
      <w:r w:rsidR="00531DCD" w:rsidRPr="0065455E">
        <w:t>.</w:t>
      </w:r>
      <w:r w:rsidR="008272A3" w:rsidRPr="0065455E">
        <w:t xml:space="preserve"> </w:t>
      </w:r>
    </w:p>
    <w:p w14:paraId="2F6284F3" w14:textId="78C7789A" w:rsidR="00D37A37" w:rsidRDefault="0096519D" w:rsidP="00D37A37">
      <w:pPr>
        <w:jc w:val="center"/>
        <w:rPr>
          <w:rFonts w:ascii="Arial" w:hAnsi="Arial" w:cs="Arial"/>
          <w:noProof/>
        </w:rPr>
      </w:pPr>
      <w:r w:rsidRPr="00F57987">
        <w:rPr>
          <w:rFonts w:ascii="Arial" w:hAnsi="Arial" w:cs="Arial"/>
          <w:noProof/>
        </w:rPr>
        <w:drawing>
          <wp:anchor distT="0" distB="0" distL="114300" distR="114300" simplePos="0" relativeHeight="251660288" behindDoc="0" locked="0" layoutInCell="1" allowOverlap="1" wp14:anchorId="0229C5DF" wp14:editId="5D072A85">
            <wp:simplePos x="0" y="0"/>
            <wp:positionH relativeFrom="column">
              <wp:posOffset>495300</wp:posOffset>
            </wp:positionH>
            <wp:positionV relativeFrom="paragraph">
              <wp:posOffset>192405</wp:posOffset>
            </wp:positionV>
            <wp:extent cx="4910400" cy="3438000"/>
            <wp:effectExtent l="0" t="0" r="5080" b="0"/>
            <wp:wrapSquare wrapText="bothSides"/>
            <wp:docPr id="9" name="Picture 9" descr="Monitoring programs, signal detection methods, signal review procedures, actions proportionate to risk, education and communi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Monitoring programs, signal detection methods, signal review procedures, actions proportionate to risk, education and communication."/>
                    <pic:cNvPicPr/>
                  </pic:nvPicPr>
                  <pic:blipFill>
                    <a:blip r:embed="rId31">
                      <a:extLst>
                        <a:ext uri="{28A0092B-C50C-407E-A947-70E740481C1C}">
                          <a14:useLocalDpi xmlns:a14="http://schemas.microsoft.com/office/drawing/2010/main" val="0"/>
                        </a:ext>
                      </a:extLst>
                    </a:blip>
                    <a:stretch>
                      <a:fillRect/>
                    </a:stretch>
                  </pic:blipFill>
                  <pic:spPr>
                    <a:xfrm>
                      <a:off x="0" y="0"/>
                      <a:ext cx="4910400" cy="3438000"/>
                    </a:xfrm>
                    <a:prstGeom prst="rect">
                      <a:avLst/>
                    </a:prstGeom>
                  </pic:spPr>
                </pic:pic>
              </a:graphicData>
            </a:graphic>
            <wp14:sizeRelH relativeFrom="page">
              <wp14:pctWidth>0</wp14:pctWidth>
            </wp14:sizeRelH>
            <wp14:sizeRelV relativeFrom="page">
              <wp14:pctHeight>0</wp14:pctHeight>
            </wp14:sizeRelV>
          </wp:anchor>
        </w:drawing>
      </w:r>
    </w:p>
    <w:p w14:paraId="0CD6E5A7" w14:textId="77777777" w:rsidR="00707CC0" w:rsidRPr="00F57987" w:rsidRDefault="00707CC0" w:rsidP="00D37A37">
      <w:pPr>
        <w:jc w:val="center"/>
        <w:rPr>
          <w:rFonts w:ascii="Arial" w:hAnsi="Arial" w:cs="Arial"/>
        </w:rPr>
      </w:pPr>
    </w:p>
    <w:p w14:paraId="719337F7" w14:textId="77777777" w:rsidR="00D37A37" w:rsidRPr="00F57987" w:rsidRDefault="00D37A37" w:rsidP="00D37A37">
      <w:pPr>
        <w:pStyle w:val="Heading2"/>
        <w:spacing w:after="240"/>
      </w:pPr>
      <w:bookmarkStart w:id="9" w:name="_Toc111825249"/>
      <w:bookmarkStart w:id="10" w:name="_Toc125715064"/>
      <w:r w:rsidRPr="00F57987">
        <w:lastRenderedPageBreak/>
        <w:t>5. Intelligence collection and analysis</w:t>
      </w:r>
      <w:bookmarkEnd w:id="9"/>
      <w:bookmarkEnd w:id="10"/>
    </w:p>
    <w:p w14:paraId="37D6E8D4" w14:textId="2A8D4F48" w:rsidR="00D37A37" w:rsidRPr="00F57987" w:rsidRDefault="00D37A37" w:rsidP="00D37A37">
      <w:pPr>
        <w:rPr>
          <w:rFonts w:cstheme="minorHAnsi"/>
          <w:b/>
          <w:bCs/>
          <w:i/>
          <w:iCs/>
        </w:rPr>
      </w:pPr>
      <w:r w:rsidRPr="00F57987">
        <w:rPr>
          <w:rFonts w:cstheme="minorHAnsi"/>
        </w:rPr>
        <w:t xml:space="preserve">The ODC may collect intelligence from other relevant Commonwealth, </w:t>
      </w:r>
      <w:r w:rsidR="00966449">
        <w:rPr>
          <w:rFonts w:cstheme="minorHAnsi"/>
        </w:rPr>
        <w:t>St</w:t>
      </w:r>
      <w:r w:rsidRPr="00F57987">
        <w:rPr>
          <w:rFonts w:cstheme="minorHAnsi"/>
        </w:rPr>
        <w:t xml:space="preserve">ate or </w:t>
      </w:r>
      <w:r w:rsidR="00966449">
        <w:rPr>
          <w:rFonts w:cstheme="minorHAnsi"/>
        </w:rPr>
        <w:t>T</w:t>
      </w:r>
      <w:r w:rsidRPr="00F57987">
        <w:rPr>
          <w:rFonts w:cstheme="minorHAnsi"/>
        </w:rPr>
        <w:t xml:space="preserve">erritory agencies in accordance with the Act and other applicable legislation. This allows </w:t>
      </w:r>
      <w:r w:rsidR="00B0520F">
        <w:rPr>
          <w:rFonts w:cstheme="minorHAnsi"/>
        </w:rPr>
        <w:t>us</w:t>
      </w:r>
      <w:r w:rsidRPr="00F57987">
        <w:rPr>
          <w:rFonts w:cstheme="minorHAnsi"/>
        </w:rPr>
        <w:t xml:space="preserve"> </w:t>
      </w:r>
      <w:r w:rsidR="005426F2">
        <w:rPr>
          <w:rFonts w:cstheme="minorHAnsi"/>
        </w:rPr>
        <w:t xml:space="preserve">to </w:t>
      </w:r>
      <w:r w:rsidRPr="00F57987">
        <w:rPr>
          <w:rFonts w:cstheme="minorHAnsi"/>
        </w:rPr>
        <w:t xml:space="preserve">ensure </w:t>
      </w:r>
      <w:r w:rsidR="00B0520F">
        <w:rPr>
          <w:rFonts w:cstheme="minorHAnsi"/>
        </w:rPr>
        <w:t>that we have</w:t>
      </w:r>
      <w:r w:rsidRPr="00F57987">
        <w:rPr>
          <w:rFonts w:cstheme="minorHAnsi"/>
        </w:rPr>
        <w:t xml:space="preserve"> sufficient information to exercise </w:t>
      </w:r>
      <w:r w:rsidR="00B0520F">
        <w:rPr>
          <w:rFonts w:cstheme="minorHAnsi"/>
        </w:rPr>
        <w:t>our</w:t>
      </w:r>
      <w:r w:rsidR="00B0520F" w:rsidRPr="00F57987">
        <w:rPr>
          <w:rFonts w:cstheme="minorHAnsi"/>
        </w:rPr>
        <w:t xml:space="preserve"> </w:t>
      </w:r>
      <w:r w:rsidRPr="00F57987">
        <w:rPr>
          <w:rFonts w:cstheme="minorHAnsi"/>
        </w:rPr>
        <w:t xml:space="preserve">regulatory functions and may include cross matching the information received from the other agencies. </w:t>
      </w:r>
    </w:p>
    <w:p w14:paraId="4AAEEEA6" w14:textId="77777777" w:rsidR="00D37A37" w:rsidRPr="00F57987" w:rsidRDefault="00D37A37" w:rsidP="009B39C2">
      <w:pPr>
        <w:pStyle w:val="Heading3"/>
        <w:rPr>
          <w:b/>
          <w:bCs/>
          <w:i/>
        </w:rPr>
      </w:pPr>
      <w:r w:rsidRPr="00F57987">
        <w:t>Public media alerts</w:t>
      </w:r>
    </w:p>
    <w:p w14:paraId="340623C8" w14:textId="2E161EA6" w:rsidR="00D37A37" w:rsidRPr="00F57987" w:rsidRDefault="00D37A37" w:rsidP="00D37A37">
      <w:pPr>
        <w:shd w:val="clear" w:color="auto" w:fill="FFFFFF"/>
        <w:rPr>
          <w:rFonts w:cstheme="minorHAnsi"/>
          <w:color w:val="222222"/>
        </w:rPr>
      </w:pPr>
      <w:r w:rsidRPr="00F57987">
        <w:rPr>
          <w:rFonts w:cstheme="minorHAnsi"/>
          <w:color w:val="222222"/>
        </w:rPr>
        <w:t xml:space="preserve">The ODC regularly reviews publicly available information including media articles, particularly where </w:t>
      </w:r>
      <w:r w:rsidR="00966449">
        <w:rPr>
          <w:rFonts w:cstheme="minorHAnsi"/>
          <w:color w:val="222222"/>
        </w:rPr>
        <w:t xml:space="preserve">risks </w:t>
      </w:r>
      <w:r w:rsidRPr="00F57987">
        <w:rPr>
          <w:rFonts w:cstheme="minorHAnsi"/>
          <w:color w:val="222222"/>
        </w:rPr>
        <w:t xml:space="preserve">are identified. </w:t>
      </w:r>
      <w:r w:rsidR="00B0520F">
        <w:rPr>
          <w:rFonts w:cstheme="minorHAnsi"/>
          <w:color w:val="222222"/>
        </w:rPr>
        <w:t>We also undertake</w:t>
      </w:r>
      <w:r w:rsidRPr="00F57987">
        <w:rPr>
          <w:rFonts w:cstheme="minorHAnsi"/>
          <w:color w:val="222222"/>
        </w:rPr>
        <w:t xml:space="preserve"> checks to verify allegations where there is a</w:t>
      </w:r>
      <w:r w:rsidR="003E7EB6">
        <w:rPr>
          <w:rFonts w:cstheme="minorHAnsi"/>
          <w:color w:val="222222"/>
        </w:rPr>
        <w:t>n</w:t>
      </w:r>
      <w:r w:rsidRPr="00F57987">
        <w:rPr>
          <w:rFonts w:cstheme="minorHAnsi"/>
          <w:color w:val="222222"/>
        </w:rPr>
        <w:t xml:space="preserve"> </w:t>
      </w:r>
      <w:r w:rsidR="003E7EB6">
        <w:rPr>
          <w:rFonts w:cstheme="minorHAnsi"/>
          <w:color w:val="222222"/>
        </w:rPr>
        <w:t>indication</w:t>
      </w:r>
      <w:r w:rsidR="003E7EB6" w:rsidRPr="00F57987">
        <w:rPr>
          <w:rFonts w:cstheme="minorHAnsi"/>
          <w:color w:val="222222"/>
        </w:rPr>
        <w:t xml:space="preserve"> </w:t>
      </w:r>
      <w:r w:rsidRPr="00F57987">
        <w:rPr>
          <w:rFonts w:cstheme="minorHAnsi"/>
          <w:color w:val="222222"/>
        </w:rPr>
        <w:t xml:space="preserve">of </w:t>
      </w:r>
      <w:r w:rsidR="003E7EB6">
        <w:rPr>
          <w:rFonts w:cstheme="minorHAnsi"/>
          <w:color w:val="222222"/>
        </w:rPr>
        <w:t xml:space="preserve">a </w:t>
      </w:r>
      <w:r w:rsidRPr="00F57987">
        <w:rPr>
          <w:rFonts w:cstheme="minorHAnsi"/>
          <w:color w:val="222222"/>
        </w:rPr>
        <w:t xml:space="preserve">breach of </w:t>
      </w:r>
      <w:r w:rsidR="00966449" w:rsidRPr="0064170A">
        <w:rPr>
          <w:rFonts w:cstheme="minorHAnsi"/>
          <w:color w:val="222222"/>
        </w:rPr>
        <w:t>relevant</w:t>
      </w:r>
      <w:r w:rsidRPr="0064170A">
        <w:rPr>
          <w:rFonts w:cstheme="minorHAnsi"/>
          <w:color w:val="222222"/>
        </w:rPr>
        <w:t xml:space="preserve"> </w:t>
      </w:r>
      <w:r w:rsidR="002E7D87">
        <w:rPr>
          <w:rFonts w:cstheme="minorHAnsi"/>
          <w:color w:val="222222"/>
        </w:rPr>
        <w:t>legislation</w:t>
      </w:r>
      <w:r w:rsidRPr="006E2C5F">
        <w:rPr>
          <w:rFonts w:cstheme="minorHAnsi"/>
          <w:color w:val="222222"/>
        </w:rPr>
        <w:t>.</w:t>
      </w:r>
      <w:r w:rsidRPr="00F57987">
        <w:rPr>
          <w:rFonts w:cstheme="minorHAnsi"/>
          <w:color w:val="222222"/>
        </w:rPr>
        <w:t xml:space="preserve"> </w:t>
      </w:r>
    </w:p>
    <w:p w14:paraId="6A978273" w14:textId="77777777" w:rsidR="00D37A37" w:rsidRPr="00F57987" w:rsidRDefault="00D37A37" w:rsidP="009B39C2">
      <w:pPr>
        <w:pStyle w:val="Heading3"/>
        <w:rPr>
          <w:b/>
          <w:bCs/>
          <w:i/>
        </w:rPr>
      </w:pPr>
      <w:r w:rsidRPr="00F57987">
        <w:t>Notifications</w:t>
      </w:r>
    </w:p>
    <w:p w14:paraId="51746AF7" w14:textId="45B600DE" w:rsidR="00D37A37" w:rsidRPr="00F57987" w:rsidRDefault="00D37A37" w:rsidP="0096519D">
      <w:pPr>
        <w:shd w:val="clear" w:color="auto" w:fill="FFFFFF"/>
        <w:spacing w:after="120"/>
        <w:rPr>
          <w:rFonts w:cstheme="minorHAnsi"/>
          <w:color w:val="222222"/>
        </w:rPr>
      </w:pPr>
      <w:r w:rsidRPr="00F57987">
        <w:rPr>
          <w:rFonts w:cstheme="minorHAnsi"/>
          <w:color w:val="222222"/>
        </w:rPr>
        <w:t xml:space="preserve">It is a condition </w:t>
      </w:r>
      <w:r w:rsidR="00B0520F">
        <w:rPr>
          <w:rFonts w:cstheme="minorHAnsi"/>
          <w:color w:val="222222"/>
        </w:rPr>
        <w:t>under the</w:t>
      </w:r>
      <w:r w:rsidR="00CF7801">
        <w:rPr>
          <w:rFonts w:cstheme="minorHAnsi"/>
          <w:color w:val="222222"/>
        </w:rPr>
        <w:t xml:space="preserve"> Act </w:t>
      </w:r>
      <w:r w:rsidR="00B0520F">
        <w:rPr>
          <w:rFonts w:cstheme="minorHAnsi"/>
          <w:color w:val="222222"/>
        </w:rPr>
        <w:t xml:space="preserve">that </w:t>
      </w:r>
      <w:r w:rsidR="00CF7801">
        <w:rPr>
          <w:rFonts w:cstheme="minorHAnsi"/>
          <w:color w:val="222222"/>
        </w:rPr>
        <w:t>licence holders</w:t>
      </w:r>
      <w:r w:rsidRPr="00F57987">
        <w:rPr>
          <w:rFonts w:cstheme="minorHAnsi"/>
          <w:color w:val="222222"/>
        </w:rPr>
        <w:t xml:space="preserve"> are required to notify certain matters to the Secretary</w:t>
      </w:r>
      <w:r w:rsidR="001A3B0E">
        <w:rPr>
          <w:rFonts w:cstheme="minorHAnsi"/>
          <w:color w:val="222222"/>
        </w:rPr>
        <w:t xml:space="preserve"> of the Department of </w:t>
      </w:r>
      <w:r w:rsidR="003E7EB6">
        <w:rPr>
          <w:rFonts w:cstheme="minorHAnsi"/>
          <w:color w:val="222222"/>
        </w:rPr>
        <w:t>H</w:t>
      </w:r>
      <w:r w:rsidR="001A3B0E">
        <w:rPr>
          <w:rFonts w:cstheme="minorHAnsi"/>
          <w:color w:val="222222"/>
        </w:rPr>
        <w:t>ealth and Aged Care</w:t>
      </w:r>
      <w:r w:rsidRPr="00F57987">
        <w:rPr>
          <w:rFonts w:cstheme="minorHAnsi"/>
          <w:color w:val="222222"/>
        </w:rPr>
        <w:t>; failure to do so is a breach of the relevant licence. Upon receipt of the notification, the ODC will triage the incident and assess the regulatory response which may include</w:t>
      </w:r>
      <w:r w:rsidR="00CF7801">
        <w:rPr>
          <w:rFonts w:cstheme="minorHAnsi"/>
          <w:color w:val="222222"/>
        </w:rPr>
        <w:t xml:space="preserve">, but </w:t>
      </w:r>
      <w:r w:rsidR="00D14087">
        <w:rPr>
          <w:rFonts w:cstheme="minorHAnsi"/>
          <w:color w:val="222222"/>
        </w:rPr>
        <w:t xml:space="preserve">is </w:t>
      </w:r>
      <w:r w:rsidR="00CF7801">
        <w:rPr>
          <w:rFonts w:cstheme="minorHAnsi"/>
          <w:color w:val="222222"/>
        </w:rPr>
        <w:t>not limited to</w:t>
      </w:r>
      <w:r w:rsidRPr="00F57987">
        <w:rPr>
          <w:rFonts w:cstheme="minorHAnsi"/>
          <w:color w:val="222222"/>
        </w:rPr>
        <w:t>:</w:t>
      </w:r>
    </w:p>
    <w:p w14:paraId="7A3862DD" w14:textId="05204D56" w:rsidR="00D37A37" w:rsidRPr="0065455E" w:rsidRDefault="00D37A37" w:rsidP="009B39C2">
      <w:pPr>
        <w:pStyle w:val="ListBullet"/>
      </w:pPr>
      <w:r w:rsidRPr="0065455E">
        <w:t>requiring an application to vary a licence (e.g. change of directors)</w:t>
      </w:r>
      <w:r w:rsidR="00CF7801" w:rsidRPr="0065455E">
        <w:t>.</w:t>
      </w:r>
      <w:r w:rsidRPr="0065455E">
        <w:t xml:space="preserve"> </w:t>
      </w:r>
    </w:p>
    <w:p w14:paraId="6035B005" w14:textId="10512873" w:rsidR="00D37A37" w:rsidRPr="0065455E" w:rsidRDefault="00D37A37" w:rsidP="009B39C2">
      <w:pPr>
        <w:pStyle w:val="ListBullet"/>
      </w:pPr>
      <w:r w:rsidRPr="0065455E">
        <w:t xml:space="preserve">working with </w:t>
      </w:r>
      <w:r w:rsidR="00966449" w:rsidRPr="0065455E">
        <w:t>persons</w:t>
      </w:r>
      <w:r w:rsidRPr="0065455E">
        <w:t xml:space="preserve"> to correct and prevent reoccurrence</w:t>
      </w:r>
      <w:r w:rsidR="00CF7801" w:rsidRPr="0065455E">
        <w:t>.</w:t>
      </w:r>
    </w:p>
    <w:p w14:paraId="06AE93D9" w14:textId="22BE7198" w:rsidR="00D37A37" w:rsidRDefault="00D37A37" w:rsidP="009B39C2">
      <w:pPr>
        <w:pStyle w:val="ListBullet"/>
      </w:pPr>
      <w:r w:rsidRPr="0065455E">
        <w:t>compliance or enforcement actions.</w:t>
      </w:r>
    </w:p>
    <w:p w14:paraId="726AB21D" w14:textId="77777777" w:rsidR="00D37A37" w:rsidRPr="00F57987" w:rsidRDefault="00D37A37" w:rsidP="009B39C2">
      <w:pPr>
        <w:pStyle w:val="Heading3"/>
        <w:rPr>
          <w:i/>
        </w:rPr>
      </w:pPr>
      <w:r w:rsidRPr="00F57987">
        <w:t>Inspection trends</w:t>
      </w:r>
    </w:p>
    <w:p w14:paraId="023FEAEA" w14:textId="281781D2" w:rsidR="00D37A37" w:rsidRDefault="00D37A37" w:rsidP="00D37A37">
      <w:pPr>
        <w:rPr>
          <w:rFonts w:cstheme="minorHAnsi"/>
        </w:rPr>
      </w:pPr>
      <w:r w:rsidRPr="00F57987">
        <w:rPr>
          <w:rFonts w:cstheme="minorHAnsi"/>
        </w:rPr>
        <w:t xml:space="preserve">The ODC will assess the outcomes of compliance activities to determine whether there are issues or themes relating to non-compliance. This information will be used to better inform compliance risk assessments and the targeting of compliance and monitoring effort. The ODC may monitor </w:t>
      </w:r>
      <w:r w:rsidR="00CF7801">
        <w:rPr>
          <w:rFonts w:cstheme="minorHAnsi"/>
        </w:rPr>
        <w:t>regulated persons</w:t>
      </w:r>
      <w:r w:rsidRPr="00F57987">
        <w:rPr>
          <w:rFonts w:cstheme="minorHAnsi"/>
        </w:rPr>
        <w:t xml:space="preserve"> and identify common risk areas to build a profile on trends. This analysis will guide the ODC in determining risk</w:t>
      </w:r>
      <w:r w:rsidR="00CF7801">
        <w:rPr>
          <w:rFonts w:cstheme="minorHAnsi"/>
        </w:rPr>
        <w:t xml:space="preserve"> profiles</w:t>
      </w:r>
      <w:r w:rsidRPr="00F57987">
        <w:rPr>
          <w:rFonts w:cstheme="minorHAnsi"/>
        </w:rPr>
        <w:t xml:space="preserve"> to assist </w:t>
      </w:r>
      <w:r w:rsidR="00CF7801">
        <w:rPr>
          <w:rFonts w:cstheme="minorHAnsi"/>
        </w:rPr>
        <w:t>the ODC’s</w:t>
      </w:r>
      <w:r w:rsidR="00CF7801" w:rsidRPr="00F57987">
        <w:rPr>
          <w:rFonts w:cstheme="minorHAnsi"/>
        </w:rPr>
        <w:t xml:space="preserve"> </w:t>
      </w:r>
      <w:r w:rsidRPr="00F57987">
        <w:rPr>
          <w:rFonts w:cstheme="minorHAnsi"/>
        </w:rPr>
        <w:t>regulatory approach for compliance monitoring activities and campaigns.</w:t>
      </w:r>
    </w:p>
    <w:p w14:paraId="6923C788" w14:textId="15FFBA18" w:rsidR="00D37A37" w:rsidRPr="00F57987" w:rsidRDefault="00D37A37" w:rsidP="009B39C2">
      <w:pPr>
        <w:pStyle w:val="Heading3"/>
        <w:rPr>
          <w:b/>
          <w:bCs/>
          <w:i/>
        </w:rPr>
      </w:pPr>
      <w:r w:rsidRPr="00F57987">
        <w:t xml:space="preserve">Complaints and </w:t>
      </w:r>
      <w:r w:rsidR="006A0758">
        <w:t>Tip-Offs</w:t>
      </w:r>
    </w:p>
    <w:p w14:paraId="56D2D1B4" w14:textId="7E97B01D" w:rsidR="00D37A37" w:rsidRPr="0096519D" w:rsidRDefault="00D37A37" w:rsidP="00D37A37">
      <w:pPr>
        <w:rPr>
          <w:rFonts w:cstheme="minorHAnsi"/>
        </w:rPr>
      </w:pPr>
      <w:r w:rsidRPr="0096519D">
        <w:rPr>
          <w:rFonts w:cstheme="minorHAnsi"/>
        </w:rPr>
        <w:t xml:space="preserve">The ODC receives and considers complaints </w:t>
      </w:r>
      <w:r w:rsidR="006A0758" w:rsidRPr="0096519D">
        <w:rPr>
          <w:rFonts w:cstheme="minorHAnsi"/>
        </w:rPr>
        <w:t xml:space="preserve">and </w:t>
      </w:r>
      <w:r w:rsidR="00841E5E">
        <w:rPr>
          <w:rFonts w:cstheme="minorHAnsi"/>
        </w:rPr>
        <w:t>t</w:t>
      </w:r>
      <w:r w:rsidR="006A0758" w:rsidRPr="0096519D">
        <w:rPr>
          <w:rFonts w:cstheme="minorHAnsi"/>
        </w:rPr>
        <w:t xml:space="preserve">ip-offs </w:t>
      </w:r>
      <w:r w:rsidRPr="0096519D">
        <w:rPr>
          <w:rFonts w:cstheme="minorHAnsi"/>
        </w:rPr>
        <w:t>from the public and referrals from other agencies relating to suspected non-compliance. The complaint or referral may include preliminary information to support any allegations. These can be provided to the ODC via the following channels:</w:t>
      </w:r>
    </w:p>
    <w:p w14:paraId="70C3D728" w14:textId="5E588D79" w:rsidR="00D37A37" w:rsidRPr="0096519D" w:rsidRDefault="00D37A37" w:rsidP="009B39C2">
      <w:pPr>
        <w:pStyle w:val="ListBullet"/>
        <w:rPr>
          <w:rFonts w:cstheme="minorHAnsi"/>
        </w:rPr>
      </w:pPr>
      <w:r w:rsidRPr="0096519D">
        <w:rPr>
          <w:rFonts w:cstheme="minorHAnsi"/>
        </w:rPr>
        <w:t>Email</w:t>
      </w:r>
      <w:r w:rsidR="00675B5C" w:rsidRPr="0096519D">
        <w:rPr>
          <w:rFonts w:cstheme="minorHAnsi"/>
        </w:rPr>
        <w:t>:</w:t>
      </w:r>
      <w:r w:rsidRPr="0096519D">
        <w:rPr>
          <w:rFonts w:cstheme="minorHAnsi"/>
        </w:rPr>
        <w:t xml:space="preserve"> </w:t>
      </w:r>
      <w:hyperlink r:id="rId32" w:history="1">
        <w:r w:rsidRPr="0096519D">
          <w:rPr>
            <w:rStyle w:val="Hyperlink"/>
            <w:rFonts w:cstheme="minorHAnsi"/>
          </w:rPr>
          <w:t>odc.compliance@health.gov.au</w:t>
        </w:r>
      </w:hyperlink>
      <w:r w:rsidRPr="0096519D">
        <w:rPr>
          <w:rFonts w:cstheme="minorHAnsi"/>
        </w:rPr>
        <w:t xml:space="preserve"> </w:t>
      </w:r>
    </w:p>
    <w:p w14:paraId="47A19CBE" w14:textId="1103F0BD" w:rsidR="00D37A37" w:rsidRPr="009B39C2" w:rsidRDefault="00D37A37" w:rsidP="009B39C2">
      <w:pPr>
        <w:pStyle w:val="ListBullet"/>
        <w:rPr>
          <w:rFonts w:cstheme="minorHAnsi"/>
        </w:rPr>
      </w:pPr>
      <w:r w:rsidRPr="0096519D">
        <w:rPr>
          <w:rFonts w:cstheme="minorHAnsi"/>
        </w:rPr>
        <w:t>Telephone</w:t>
      </w:r>
      <w:r w:rsidR="00675B5C" w:rsidRPr="0096519D">
        <w:rPr>
          <w:rFonts w:cstheme="minorHAnsi"/>
        </w:rPr>
        <w:t>:</w:t>
      </w:r>
      <w:r w:rsidRPr="0096519D">
        <w:rPr>
          <w:rFonts w:cstheme="minorHAnsi"/>
        </w:rPr>
        <w:t xml:space="preserve"> 02 6289 4550.</w:t>
      </w:r>
    </w:p>
    <w:p w14:paraId="7C2EE2B6" w14:textId="06B10D22" w:rsidR="00E7458D" w:rsidRPr="00DE7790" w:rsidRDefault="00E7458D" w:rsidP="00E7458D">
      <w:pPr>
        <w:rPr>
          <w:rFonts w:cstheme="minorHAnsi"/>
        </w:rPr>
      </w:pPr>
      <w:r w:rsidRPr="00DE7790">
        <w:rPr>
          <w:rFonts w:cstheme="minorHAnsi"/>
        </w:rPr>
        <w:t>When making a tip-off, the more information you give us</w:t>
      </w:r>
      <w:r w:rsidR="00223A69">
        <w:rPr>
          <w:rFonts w:cstheme="minorHAnsi"/>
        </w:rPr>
        <w:t xml:space="preserve"> about the entity</w:t>
      </w:r>
      <w:r w:rsidRPr="00DE7790">
        <w:rPr>
          <w:rFonts w:cstheme="minorHAnsi"/>
        </w:rPr>
        <w:t>, the better we can work to protect honest businesses and the community.</w:t>
      </w:r>
    </w:p>
    <w:p w14:paraId="4EDA5BE2" w14:textId="4D2874AC" w:rsidR="00E7458D" w:rsidRPr="00DE7790" w:rsidRDefault="00E7458D" w:rsidP="00E7458D">
      <w:pPr>
        <w:rPr>
          <w:rFonts w:cstheme="minorHAnsi"/>
        </w:rPr>
      </w:pPr>
      <w:r w:rsidRPr="00DE7790">
        <w:rPr>
          <w:rFonts w:cstheme="minorHAnsi"/>
        </w:rPr>
        <w:t xml:space="preserve">If you are </w:t>
      </w:r>
      <w:r w:rsidR="00D14087">
        <w:rPr>
          <w:rFonts w:cstheme="minorHAnsi"/>
        </w:rPr>
        <w:t xml:space="preserve">submitting </w:t>
      </w:r>
      <w:r w:rsidR="002E7D87">
        <w:rPr>
          <w:rFonts w:cstheme="minorHAnsi"/>
        </w:rPr>
        <w:t xml:space="preserve">a </w:t>
      </w:r>
      <w:r w:rsidR="00D14087">
        <w:rPr>
          <w:rFonts w:cstheme="minorHAnsi"/>
        </w:rPr>
        <w:t>complaint or referral,</w:t>
      </w:r>
      <w:r w:rsidRPr="00DE7790">
        <w:rPr>
          <w:rFonts w:cstheme="minorHAnsi"/>
        </w:rPr>
        <w:t xml:space="preserve"> useful information includes:</w:t>
      </w:r>
    </w:p>
    <w:p w14:paraId="2A03DE05" w14:textId="4D28BF4A" w:rsidR="00E7458D" w:rsidRPr="00DE7790" w:rsidRDefault="00D14087" w:rsidP="009B39C2">
      <w:pPr>
        <w:pStyle w:val="ListBullet"/>
      </w:pPr>
      <w:r>
        <w:t xml:space="preserve">the </w:t>
      </w:r>
      <w:r w:rsidR="00E7458D" w:rsidRPr="00DE7790">
        <w:t xml:space="preserve">name of the </w:t>
      </w:r>
      <w:r>
        <w:t xml:space="preserve">individual or </w:t>
      </w:r>
      <w:r w:rsidR="00E7458D" w:rsidRPr="00DE7790">
        <w:t>business</w:t>
      </w:r>
      <w:r w:rsidR="00223A69">
        <w:t xml:space="preserve"> you are complaining about</w:t>
      </w:r>
    </w:p>
    <w:p w14:paraId="18794EFE" w14:textId="55B75733" w:rsidR="00D14087" w:rsidRPr="00DE7790" w:rsidRDefault="00D14087" w:rsidP="009B39C2">
      <w:pPr>
        <w:pStyle w:val="ListBullet"/>
      </w:pPr>
      <w:r>
        <w:t xml:space="preserve">the </w:t>
      </w:r>
      <w:r w:rsidR="00223A69" w:rsidRPr="00DE7790">
        <w:t>address</w:t>
      </w:r>
      <w:r w:rsidR="00223A69">
        <w:t xml:space="preserve"> of the </w:t>
      </w:r>
      <w:r>
        <w:t xml:space="preserve">individual or </w:t>
      </w:r>
      <w:r w:rsidRPr="00DE7790">
        <w:t xml:space="preserve">business </w:t>
      </w:r>
    </w:p>
    <w:p w14:paraId="71693563" w14:textId="77777777" w:rsidR="00E7458D" w:rsidRPr="00DE7790" w:rsidRDefault="00E7458D" w:rsidP="009B39C2">
      <w:pPr>
        <w:pStyle w:val="ListBullet"/>
      </w:pPr>
      <w:r w:rsidRPr="00DE7790">
        <w:t>ABN</w:t>
      </w:r>
    </w:p>
    <w:p w14:paraId="581FE4D5" w14:textId="77777777" w:rsidR="00E7458D" w:rsidRPr="00DE7790" w:rsidRDefault="00E7458D" w:rsidP="009B39C2">
      <w:pPr>
        <w:pStyle w:val="ListBullet"/>
      </w:pPr>
      <w:r w:rsidRPr="00DE7790">
        <w:t>phone number</w:t>
      </w:r>
    </w:p>
    <w:p w14:paraId="5A9AAE0C" w14:textId="77777777" w:rsidR="00E7458D" w:rsidRPr="00DE7790" w:rsidRDefault="00E7458D" w:rsidP="009B39C2">
      <w:pPr>
        <w:pStyle w:val="ListBullet"/>
      </w:pPr>
      <w:r w:rsidRPr="00DE7790">
        <w:t>website</w:t>
      </w:r>
    </w:p>
    <w:p w14:paraId="7B13E70F" w14:textId="53BBA77A" w:rsidR="00E7458D" w:rsidRPr="00DE7790" w:rsidRDefault="00E7458D" w:rsidP="009B39C2">
      <w:pPr>
        <w:pStyle w:val="ListBullet"/>
      </w:pPr>
      <w:r w:rsidRPr="00DE7790">
        <w:lastRenderedPageBreak/>
        <w:t>social media details (for example, page name and profile addresses)</w:t>
      </w:r>
    </w:p>
    <w:p w14:paraId="487D7247" w14:textId="65DBE699" w:rsidR="0065455E" w:rsidRDefault="00DD6E64" w:rsidP="009B39C2">
      <w:pPr>
        <w:pStyle w:val="ListBullet"/>
      </w:pPr>
      <w:r w:rsidRPr="00DE7790">
        <w:t>details of the behaviour you have identified</w:t>
      </w:r>
    </w:p>
    <w:p w14:paraId="5831B700" w14:textId="645DDE6C" w:rsidR="0096519D" w:rsidRPr="009B39C2" w:rsidRDefault="00841E5E" w:rsidP="009B39C2">
      <w:pPr>
        <w:pStyle w:val="ListBullet"/>
      </w:pPr>
      <w:r>
        <w:t>any additional supporting material or evidence you consider relevant</w:t>
      </w:r>
      <w:r w:rsidR="002E7D87">
        <w:t>.</w:t>
      </w:r>
    </w:p>
    <w:p w14:paraId="5A4ADF34" w14:textId="7599164B" w:rsidR="00707CC0" w:rsidRDefault="00DD6E64" w:rsidP="00D37A37">
      <w:pPr>
        <w:rPr>
          <w:rFonts w:cstheme="minorHAnsi"/>
          <w:shd w:val="clear" w:color="auto" w:fill="FFFFFF"/>
        </w:rPr>
      </w:pPr>
      <w:r w:rsidRPr="00DE7790">
        <w:rPr>
          <w:rFonts w:cstheme="minorHAnsi"/>
          <w:shd w:val="clear" w:color="auto" w:fill="FFFFFF"/>
        </w:rPr>
        <w:t xml:space="preserve">Due to privacy laws, we </w:t>
      </w:r>
      <w:r w:rsidR="002E7D87">
        <w:rPr>
          <w:rFonts w:cstheme="minorHAnsi"/>
          <w:shd w:val="clear" w:color="auto" w:fill="FFFFFF"/>
        </w:rPr>
        <w:t xml:space="preserve">will not </w:t>
      </w:r>
      <w:r w:rsidRPr="00DE7790">
        <w:rPr>
          <w:rFonts w:cstheme="minorHAnsi"/>
          <w:shd w:val="clear" w:color="auto" w:fill="FFFFFF"/>
        </w:rPr>
        <w:t xml:space="preserve">be able to inform you of the outcome of </w:t>
      </w:r>
      <w:r w:rsidR="002E7D87">
        <w:rPr>
          <w:rFonts w:cstheme="minorHAnsi"/>
          <w:shd w:val="clear" w:color="auto" w:fill="FFFFFF"/>
        </w:rPr>
        <w:t xml:space="preserve">our consideration of </w:t>
      </w:r>
      <w:r w:rsidRPr="00DE7790">
        <w:rPr>
          <w:rFonts w:cstheme="minorHAnsi"/>
          <w:shd w:val="clear" w:color="auto" w:fill="FFFFFF"/>
        </w:rPr>
        <w:t>the information you provide</w:t>
      </w:r>
      <w:r w:rsidR="00D14087">
        <w:rPr>
          <w:rFonts w:cstheme="minorHAnsi"/>
          <w:shd w:val="clear" w:color="auto" w:fill="FFFFFF"/>
        </w:rPr>
        <w:t>, nor updates on the progress of the matter</w:t>
      </w:r>
      <w:r w:rsidRPr="00DE7790">
        <w:rPr>
          <w:rFonts w:cstheme="minorHAnsi"/>
          <w:shd w:val="clear" w:color="auto" w:fill="FFFFFF"/>
        </w:rPr>
        <w:t>. Rest assured we take all information seriously</w:t>
      </w:r>
      <w:r w:rsidR="00ED493D">
        <w:rPr>
          <w:rFonts w:cstheme="minorHAnsi"/>
          <w:shd w:val="clear" w:color="auto" w:fill="FFFFFF"/>
        </w:rPr>
        <w:t xml:space="preserve"> and consider all information received</w:t>
      </w:r>
      <w:r w:rsidRPr="00DE7790">
        <w:rPr>
          <w:rFonts w:cstheme="minorHAnsi"/>
          <w:shd w:val="clear" w:color="auto" w:fill="FFFFFF"/>
        </w:rPr>
        <w:t>.</w:t>
      </w:r>
    </w:p>
    <w:p w14:paraId="7F0E5A40" w14:textId="77777777" w:rsidR="00565A0F" w:rsidRDefault="00565A0F">
      <w:pPr>
        <w:rPr>
          <w:rFonts w:ascii="Arial" w:eastAsia="Times New Roman" w:hAnsi="Arial" w:cs="Arial"/>
          <w:bCs/>
          <w:iCs/>
          <w:color w:val="358189"/>
          <w:sz w:val="32"/>
          <w:szCs w:val="28"/>
        </w:rPr>
      </w:pPr>
      <w:r>
        <w:br w:type="page"/>
      </w:r>
    </w:p>
    <w:p w14:paraId="2F0BB082" w14:textId="14F46689" w:rsidR="00C176AB" w:rsidRPr="00F57987" w:rsidRDefault="00C176AB" w:rsidP="00C176AB">
      <w:pPr>
        <w:pStyle w:val="Heading2"/>
        <w:spacing w:after="240"/>
      </w:pPr>
      <w:bookmarkStart w:id="11" w:name="_Toc125715065"/>
      <w:r w:rsidRPr="00F57987">
        <w:lastRenderedPageBreak/>
        <w:t>6. Stakeholder Engagement and Education</w:t>
      </w:r>
      <w:bookmarkEnd w:id="11"/>
    </w:p>
    <w:p w14:paraId="1EE92422" w14:textId="03BAA5CB" w:rsidR="00C176AB" w:rsidRPr="00F57987" w:rsidRDefault="00565A0F" w:rsidP="00E10A2F">
      <w:pPr>
        <w:shd w:val="clear" w:color="auto" w:fill="FFFFFF"/>
        <w:spacing w:line="300" w:lineRule="atLeast"/>
        <w:rPr>
          <w:rFonts w:cstheme="minorHAnsi"/>
          <w:b/>
          <w:bCs/>
        </w:rPr>
      </w:pPr>
      <w:r w:rsidRPr="008B0ECC">
        <w:rPr>
          <w:rFonts w:cstheme="minorHAnsi"/>
          <w:color w:val="222222"/>
        </w:rPr>
        <w:t>We recognise education and guidance are key to encouraging and assisting with compliance with Australian regulation. We will regularly publish information, conduct education campaigns, and answer enquiries to assist industry in understanding and meeting the regulatory requirements under the Act.</w:t>
      </w:r>
      <w:r w:rsidR="00C176AB" w:rsidRPr="00F57987">
        <w:rPr>
          <w:rFonts w:cstheme="minorHAnsi"/>
        </w:rPr>
        <w:t xml:space="preserve"> </w:t>
      </w:r>
    </w:p>
    <w:p w14:paraId="711BE96A" w14:textId="77777777" w:rsidR="00C176AB" w:rsidRPr="00F57987" w:rsidRDefault="00C176AB" w:rsidP="009B39C2">
      <w:pPr>
        <w:pStyle w:val="Heading3"/>
        <w:rPr>
          <w:b/>
          <w:bCs/>
          <w:i/>
        </w:rPr>
      </w:pPr>
      <w:r w:rsidRPr="00F57987">
        <w:t>Monitoring and education campaigns</w:t>
      </w:r>
    </w:p>
    <w:p w14:paraId="56D68922" w14:textId="77777777" w:rsidR="00C176AB" w:rsidRPr="00F57987" w:rsidRDefault="00C176AB" w:rsidP="00C176AB">
      <w:pPr>
        <w:rPr>
          <w:rFonts w:cstheme="minorHAnsi"/>
          <w:b/>
          <w:bCs/>
        </w:rPr>
      </w:pPr>
      <w:r w:rsidRPr="00F57987">
        <w:rPr>
          <w:rFonts w:cstheme="minorHAnsi"/>
        </w:rPr>
        <w:t xml:space="preserve">The ODC carries out targeted campaigns to detect non-compliance and educate </w:t>
      </w:r>
      <w:r>
        <w:rPr>
          <w:rFonts w:cstheme="minorHAnsi"/>
        </w:rPr>
        <w:t>regulated persons</w:t>
      </w:r>
      <w:r w:rsidRPr="00F57987">
        <w:rPr>
          <w:rFonts w:cstheme="minorHAnsi"/>
        </w:rPr>
        <w:t xml:space="preserve"> about compliance</w:t>
      </w:r>
      <w:r>
        <w:rPr>
          <w:rFonts w:cstheme="minorHAnsi"/>
        </w:rPr>
        <w:t xml:space="preserve"> requirements</w:t>
      </w:r>
      <w:r w:rsidRPr="00F57987">
        <w:rPr>
          <w:rFonts w:cstheme="minorHAnsi"/>
        </w:rPr>
        <w:t>. These campaigns may be informed by trends and issues raised during any stage of the regulatory cycle. The campaigns will be designed to inform and educate on regulat</w:t>
      </w:r>
      <w:r>
        <w:rPr>
          <w:rFonts w:cstheme="minorHAnsi"/>
        </w:rPr>
        <w:t>ory</w:t>
      </w:r>
      <w:r w:rsidRPr="00F57987">
        <w:rPr>
          <w:rFonts w:cstheme="minorHAnsi"/>
        </w:rPr>
        <w:t xml:space="preserve"> compliance matters</w:t>
      </w:r>
      <w:r w:rsidRPr="00F57987">
        <w:rPr>
          <w:rFonts w:cstheme="minorHAnsi"/>
          <w:color w:val="222222"/>
        </w:rPr>
        <w:t xml:space="preserve"> with the aim </w:t>
      </w:r>
      <w:r>
        <w:rPr>
          <w:rFonts w:cstheme="minorHAnsi"/>
          <w:color w:val="222222"/>
        </w:rPr>
        <w:t xml:space="preserve">of </w:t>
      </w:r>
      <w:r w:rsidRPr="00F57987">
        <w:rPr>
          <w:rFonts w:cstheme="minorHAnsi"/>
          <w:color w:val="222222"/>
        </w:rPr>
        <w:t>encourag</w:t>
      </w:r>
      <w:r>
        <w:rPr>
          <w:rFonts w:cstheme="minorHAnsi"/>
          <w:color w:val="222222"/>
        </w:rPr>
        <w:t>ing</w:t>
      </w:r>
      <w:r w:rsidRPr="00F57987">
        <w:rPr>
          <w:rFonts w:cstheme="minorHAnsi"/>
          <w:color w:val="222222"/>
        </w:rPr>
        <w:t xml:space="preserve"> best practice procedures.</w:t>
      </w:r>
      <w:r w:rsidRPr="00F57987">
        <w:rPr>
          <w:rFonts w:cstheme="minorHAnsi"/>
        </w:rPr>
        <w:t xml:space="preserve">  </w:t>
      </w:r>
    </w:p>
    <w:p w14:paraId="734E7E3F" w14:textId="254E1E4A" w:rsidR="00565A0F" w:rsidRPr="00DE7790" w:rsidRDefault="00C176AB" w:rsidP="00C176AB">
      <w:pPr>
        <w:rPr>
          <w:rFonts w:cstheme="minorHAnsi"/>
        </w:rPr>
      </w:pPr>
      <w:r w:rsidRPr="00F57987">
        <w:rPr>
          <w:rFonts w:cstheme="minorHAnsi"/>
        </w:rPr>
        <w:t>Monitoring and education campaigns may include onsite</w:t>
      </w:r>
      <w:r>
        <w:rPr>
          <w:rFonts w:cstheme="minorHAnsi"/>
        </w:rPr>
        <w:t xml:space="preserve"> or virtual</w:t>
      </w:r>
      <w:r w:rsidRPr="00F57987">
        <w:rPr>
          <w:rFonts w:cstheme="minorHAnsi"/>
        </w:rPr>
        <w:t xml:space="preserve"> </w:t>
      </w:r>
      <w:r>
        <w:rPr>
          <w:rFonts w:cstheme="minorHAnsi"/>
        </w:rPr>
        <w:t>inspections</w:t>
      </w:r>
      <w:r w:rsidRPr="00F57987">
        <w:rPr>
          <w:rFonts w:cstheme="minorHAnsi"/>
        </w:rPr>
        <w:t>, presentations, publishing material on the ODC’s website, conducting meetings with stakeholders, and distribution of educational material</w:t>
      </w:r>
      <w:r>
        <w:rPr>
          <w:rFonts w:cstheme="minorHAnsi"/>
        </w:rPr>
        <w:t xml:space="preserve">, and where </w:t>
      </w:r>
      <w:r w:rsidRPr="009B2B99">
        <w:rPr>
          <w:rFonts w:cstheme="minorHAnsi"/>
        </w:rPr>
        <w:t>appropriate</w:t>
      </w:r>
      <w:r>
        <w:rPr>
          <w:rFonts w:cstheme="minorHAnsi"/>
        </w:rPr>
        <w:t>,</w:t>
      </w:r>
      <w:r w:rsidRPr="009B2B99">
        <w:rPr>
          <w:rFonts w:cstheme="minorHAnsi"/>
        </w:rPr>
        <w:t xml:space="preserve"> </w:t>
      </w:r>
      <w:r w:rsidRPr="00DE7790">
        <w:rPr>
          <w:rFonts w:cstheme="minorHAnsi"/>
        </w:rPr>
        <w:t xml:space="preserve">provide direct feedback to regulated persons to improve best practice. </w:t>
      </w:r>
    </w:p>
    <w:p w14:paraId="2E504331" w14:textId="11C9AEB4" w:rsidR="00424193" w:rsidRPr="00F57987" w:rsidRDefault="00C176AB" w:rsidP="00424193">
      <w:pPr>
        <w:pStyle w:val="Heading2"/>
        <w:spacing w:after="240"/>
      </w:pPr>
      <w:bookmarkStart w:id="12" w:name="_Toc125715066"/>
      <w:r>
        <w:t>7</w:t>
      </w:r>
      <w:r w:rsidR="00424193" w:rsidRPr="00F57987">
        <w:t xml:space="preserve">. </w:t>
      </w:r>
      <w:r w:rsidR="00424193">
        <w:t>Prioritisation</w:t>
      </w:r>
      <w:bookmarkEnd w:id="12"/>
    </w:p>
    <w:p w14:paraId="582E69B1" w14:textId="2A77214F" w:rsidR="00424193" w:rsidRPr="008B0ECC" w:rsidRDefault="00424193" w:rsidP="00424193">
      <w:pPr>
        <w:shd w:val="clear" w:color="auto" w:fill="FFFFFF"/>
        <w:spacing w:line="300" w:lineRule="atLeast"/>
        <w:rPr>
          <w:rFonts w:cstheme="minorHAnsi"/>
          <w:color w:val="222222"/>
        </w:rPr>
      </w:pPr>
      <w:r w:rsidRPr="008B0ECC">
        <w:rPr>
          <w:rFonts w:cstheme="minorHAnsi"/>
          <w:color w:val="222222"/>
        </w:rPr>
        <w:t xml:space="preserve">Our regulatory actions and responses are both proactive and responsive, including acting upon information and reports of non-compliance from </w:t>
      </w:r>
      <w:r w:rsidR="00045FC0" w:rsidRPr="008B0ECC">
        <w:rPr>
          <w:rFonts w:cstheme="minorHAnsi"/>
          <w:color w:val="222222"/>
        </w:rPr>
        <w:t>several</w:t>
      </w:r>
      <w:r w:rsidRPr="008B0ECC">
        <w:rPr>
          <w:rFonts w:cstheme="minorHAnsi"/>
          <w:color w:val="222222"/>
        </w:rPr>
        <w:t xml:space="preserve"> external sources.</w:t>
      </w:r>
    </w:p>
    <w:p w14:paraId="0799A2AA" w14:textId="7C248BB6" w:rsidR="00424193" w:rsidRPr="008B0ECC" w:rsidRDefault="00424193" w:rsidP="00424193">
      <w:pPr>
        <w:shd w:val="clear" w:color="auto" w:fill="FFFFFF"/>
        <w:spacing w:line="300" w:lineRule="atLeast"/>
        <w:rPr>
          <w:rFonts w:cstheme="minorHAnsi"/>
          <w:color w:val="222222"/>
        </w:rPr>
      </w:pPr>
      <w:r>
        <w:rPr>
          <w:rFonts w:cstheme="minorHAnsi"/>
          <w:color w:val="222222"/>
        </w:rPr>
        <w:t>While a</w:t>
      </w:r>
      <w:r w:rsidRPr="008B0ECC">
        <w:rPr>
          <w:rFonts w:cstheme="minorHAnsi"/>
          <w:color w:val="222222"/>
        </w:rPr>
        <w:t xml:space="preserve">ll instances of </w:t>
      </w:r>
      <w:r w:rsidR="001E2273">
        <w:rPr>
          <w:rFonts w:cstheme="minorHAnsi"/>
          <w:color w:val="222222"/>
        </w:rPr>
        <w:t xml:space="preserve">alleged </w:t>
      </w:r>
      <w:r w:rsidRPr="008B0ECC">
        <w:rPr>
          <w:rFonts w:cstheme="minorHAnsi"/>
          <w:color w:val="222222"/>
        </w:rPr>
        <w:t>non-compliance are recorded and considered</w:t>
      </w:r>
      <w:r>
        <w:rPr>
          <w:rFonts w:cstheme="minorHAnsi"/>
          <w:color w:val="222222"/>
        </w:rPr>
        <w:t>, t</w:t>
      </w:r>
      <w:r w:rsidRPr="00D153D6">
        <w:rPr>
          <w:rFonts w:cstheme="minorHAnsi"/>
          <w:color w:val="222222"/>
        </w:rPr>
        <w:t xml:space="preserve">he ODC cannot pursue </w:t>
      </w:r>
      <w:r>
        <w:rPr>
          <w:rFonts w:cstheme="minorHAnsi"/>
          <w:color w:val="222222"/>
        </w:rPr>
        <w:t>every</w:t>
      </w:r>
      <w:r w:rsidRPr="00D153D6">
        <w:rPr>
          <w:rFonts w:cstheme="minorHAnsi"/>
          <w:color w:val="222222"/>
        </w:rPr>
        <w:t xml:space="preserve"> matter that come</w:t>
      </w:r>
      <w:r w:rsidR="00C176AB">
        <w:rPr>
          <w:rFonts w:cstheme="minorHAnsi"/>
          <w:color w:val="222222"/>
        </w:rPr>
        <w:t>s</w:t>
      </w:r>
      <w:r w:rsidRPr="00D153D6">
        <w:rPr>
          <w:rFonts w:cstheme="minorHAnsi"/>
          <w:color w:val="222222"/>
        </w:rPr>
        <w:t xml:space="preserve"> to our attention</w:t>
      </w:r>
      <w:r w:rsidRPr="008B0ECC">
        <w:rPr>
          <w:rFonts w:cstheme="minorHAnsi"/>
          <w:color w:val="222222"/>
        </w:rPr>
        <w:t xml:space="preserve">. We </w:t>
      </w:r>
      <w:r w:rsidR="00C176AB">
        <w:rPr>
          <w:rFonts w:cstheme="minorHAnsi"/>
          <w:color w:val="222222"/>
        </w:rPr>
        <w:t>use</w:t>
      </w:r>
      <w:r w:rsidRPr="008B0ECC">
        <w:rPr>
          <w:rFonts w:cstheme="minorHAnsi"/>
          <w:color w:val="222222"/>
        </w:rPr>
        <w:t xml:space="preserve"> a risk-based approach </w:t>
      </w:r>
      <w:r>
        <w:rPr>
          <w:rFonts w:cstheme="minorHAnsi"/>
          <w:color w:val="222222"/>
        </w:rPr>
        <w:t>i</w:t>
      </w:r>
      <w:r w:rsidRPr="008B0ECC">
        <w:rPr>
          <w:rFonts w:cstheme="minorHAnsi"/>
          <w:color w:val="222222"/>
        </w:rPr>
        <w:t xml:space="preserve">n deciding priorities, </w:t>
      </w:r>
      <w:r>
        <w:rPr>
          <w:rFonts w:cstheme="minorHAnsi"/>
          <w:color w:val="222222"/>
        </w:rPr>
        <w:t>taking into consideration</w:t>
      </w:r>
      <w:r w:rsidRPr="008B0ECC">
        <w:rPr>
          <w:rFonts w:cstheme="minorHAnsi"/>
          <w:color w:val="222222"/>
        </w:rPr>
        <w:t>:</w:t>
      </w:r>
    </w:p>
    <w:p w14:paraId="2C0214CC" w14:textId="6E0EA1F2" w:rsidR="00424193" w:rsidRPr="008B0ECC" w:rsidRDefault="00424193" w:rsidP="00713D93">
      <w:pPr>
        <w:pStyle w:val="ListBullet"/>
      </w:pPr>
      <w:r w:rsidRPr="008B0ECC">
        <w:t>the seriousness of any alleged</w:t>
      </w:r>
      <w:r w:rsidR="001E2273">
        <w:t xml:space="preserve"> or detected</w:t>
      </w:r>
      <w:r w:rsidRPr="008B0ECC">
        <w:t xml:space="preserve"> non-compliance</w:t>
      </w:r>
      <w:r w:rsidR="008B03D2">
        <w:t>;</w:t>
      </w:r>
    </w:p>
    <w:p w14:paraId="66E4A30F" w14:textId="37458EE5" w:rsidR="00424193" w:rsidRPr="008B0ECC" w:rsidRDefault="00424193" w:rsidP="00713D93">
      <w:pPr>
        <w:pStyle w:val="ListBullet"/>
      </w:pPr>
      <w:r w:rsidRPr="008B0ECC">
        <w:t>the risk to the community of harm or injury</w:t>
      </w:r>
      <w:r w:rsidR="008B03D2">
        <w:t>;</w:t>
      </w:r>
    </w:p>
    <w:p w14:paraId="6C506531" w14:textId="0CF92220" w:rsidR="00424193" w:rsidRPr="008B0ECC" w:rsidRDefault="00424193" w:rsidP="00713D93">
      <w:pPr>
        <w:pStyle w:val="ListBullet"/>
      </w:pPr>
      <w:r w:rsidRPr="008B0ECC">
        <w:t>the compliance history and behaviour of the regulated person</w:t>
      </w:r>
      <w:r w:rsidR="008B03D2">
        <w:t>;</w:t>
      </w:r>
    </w:p>
    <w:p w14:paraId="6346F479" w14:textId="777ED7D6" w:rsidR="00424193" w:rsidRPr="008B0ECC" w:rsidRDefault="00424193" w:rsidP="00713D93">
      <w:pPr>
        <w:pStyle w:val="ListBullet"/>
      </w:pPr>
      <w:r w:rsidRPr="008B0ECC">
        <w:t>required action prescribed under the Act</w:t>
      </w:r>
      <w:r w:rsidR="008B03D2">
        <w:t>;</w:t>
      </w:r>
    </w:p>
    <w:p w14:paraId="341DA08C" w14:textId="06EDDB9C" w:rsidR="00424193" w:rsidRDefault="00424193" w:rsidP="00713D93">
      <w:pPr>
        <w:pStyle w:val="ListBullet"/>
      </w:pPr>
      <w:r w:rsidRPr="008B0ECC">
        <w:t xml:space="preserve">trends indicating non-compliance across </w:t>
      </w:r>
      <w:r>
        <w:t xml:space="preserve">multiple licence holders or </w:t>
      </w:r>
      <w:r w:rsidRPr="008B0ECC">
        <w:t>the industry</w:t>
      </w:r>
      <w:r>
        <w:t xml:space="preserve"> generally</w:t>
      </w:r>
      <w:r w:rsidR="008B03D2">
        <w:t>.</w:t>
      </w:r>
    </w:p>
    <w:p w14:paraId="3A48DFBB" w14:textId="77777777" w:rsidR="00565A0F" w:rsidRDefault="00565A0F">
      <w:pPr>
        <w:rPr>
          <w:rFonts w:ascii="Arial" w:eastAsia="Times New Roman" w:hAnsi="Arial" w:cs="Arial"/>
          <w:bCs/>
          <w:iCs/>
          <w:color w:val="358189"/>
          <w:sz w:val="32"/>
          <w:szCs w:val="28"/>
        </w:rPr>
      </w:pPr>
      <w:r>
        <w:br w:type="page"/>
      </w:r>
    </w:p>
    <w:p w14:paraId="438860BF" w14:textId="4D907798" w:rsidR="00C176AB" w:rsidRPr="00F57987" w:rsidRDefault="00C176AB" w:rsidP="00C176AB">
      <w:pPr>
        <w:pStyle w:val="Heading2"/>
        <w:spacing w:after="240"/>
      </w:pPr>
      <w:bookmarkStart w:id="13" w:name="_Toc125715067"/>
      <w:r>
        <w:lastRenderedPageBreak/>
        <w:t>8</w:t>
      </w:r>
      <w:r w:rsidRPr="00F57987">
        <w:t>. Compliance Inspections</w:t>
      </w:r>
      <w:bookmarkEnd w:id="13"/>
    </w:p>
    <w:p w14:paraId="61F446A4" w14:textId="32C6B121" w:rsidR="00C176AB" w:rsidRPr="00DE7790" w:rsidRDefault="00C176AB" w:rsidP="00C176AB">
      <w:pPr>
        <w:pStyle w:val="Heading4"/>
        <w:rPr>
          <w:rFonts w:asciiTheme="minorHAnsi" w:hAnsiTheme="minorHAnsi" w:cstheme="minorHAnsi"/>
          <w:b w:val="0"/>
          <w:bCs w:val="0"/>
          <w:i w:val="0"/>
          <w:color w:val="auto"/>
          <w:sz w:val="22"/>
          <w:szCs w:val="24"/>
        </w:rPr>
      </w:pPr>
      <w:r w:rsidRPr="00DE7790">
        <w:rPr>
          <w:rFonts w:asciiTheme="minorHAnsi" w:hAnsiTheme="minorHAnsi" w:cstheme="minorHAnsi"/>
          <w:b w:val="0"/>
          <w:bCs w:val="0"/>
          <w:i w:val="0"/>
          <w:color w:val="auto"/>
          <w:sz w:val="22"/>
          <w:szCs w:val="24"/>
        </w:rPr>
        <w:t>The ODC will undertake regular and random property inspections either on</w:t>
      </w:r>
      <w:r w:rsidR="002E7D87">
        <w:rPr>
          <w:rFonts w:asciiTheme="minorHAnsi" w:hAnsiTheme="minorHAnsi" w:cstheme="minorHAnsi"/>
          <w:b w:val="0"/>
          <w:bCs w:val="0"/>
          <w:i w:val="0"/>
          <w:color w:val="auto"/>
          <w:sz w:val="22"/>
          <w:szCs w:val="24"/>
        </w:rPr>
        <w:t>-</w:t>
      </w:r>
      <w:r w:rsidRPr="00DE7790">
        <w:rPr>
          <w:rFonts w:asciiTheme="minorHAnsi" w:hAnsiTheme="minorHAnsi" w:cstheme="minorHAnsi"/>
          <w:b w:val="0"/>
          <w:bCs w:val="0"/>
          <w:i w:val="0"/>
          <w:color w:val="auto"/>
          <w:sz w:val="22"/>
          <w:szCs w:val="24"/>
        </w:rPr>
        <w:t>site</w:t>
      </w:r>
      <w:r w:rsidR="002E7D87">
        <w:rPr>
          <w:rFonts w:asciiTheme="minorHAnsi" w:hAnsiTheme="minorHAnsi" w:cstheme="minorHAnsi"/>
          <w:b w:val="0"/>
          <w:bCs w:val="0"/>
          <w:i w:val="0"/>
          <w:color w:val="auto"/>
          <w:sz w:val="22"/>
          <w:szCs w:val="24"/>
        </w:rPr>
        <w:t>,</w:t>
      </w:r>
      <w:r w:rsidRPr="00DE7790">
        <w:rPr>
          <w:rFonts w:asciiTheme="minorHAnsi" w:hAnsiTheme="minorHAnsi" w:cstheme="minorHAnsi"/>
          <w:b w:val="0"/>
          <w:bCs w:val="0"/>
          <w:i w:val="0"/>
          <w:color w:val="auto"/>
          <w:sz w:val="22"/>
          <w:szCs w:val="24"/>
        </w:rPr>
        <w:t xml:space="preserve"> or virtually</w:t>
      </w:r>
      <w:r w:rsidR="002E7D87">
        <w:rPr>
          <w:rFonts w:asciiTheme="minorHAnsi" w:hAnsiTheme="minorHAnsi" w:cstheme="minorHAnsi"/>
          <w:b w:val="0"/>
          <w:bCs w:val="0"/>
          <w:i w:val="0"/>
          <w:color w:val="auto"/>
          <w:sz w:val="22"/>
          <w:szCs w:val="24"/>
        </w:rPr>
        <w:t>,</w:t>
      </w:r>
      <w:r w:rsidRPr="00DE7790">
        <w:rPr>
          <w:rFonts w:asciiTheme="minorHAnsi" w:hAnsiTheme="minorHAnsi" w:cstheme="minorHAnsi"/>
          <w:b w:val="0"/>
          <w:bCs w:val="0"/>
          <w:i w:val="0"/>
          <w:color w:val="auto"/>
          <w:sz w:val="22"/>
          <w:szCs w:val="24"/>
        </w:rPr>
        <w:t xml:space="preserve"> to assess compliance. All </w:t>
      </w:r>
      <w:r w:rsidR="002E7D87">
        <w:rPr>
          <w:rFonts w:asciiTheme="minorHAnsi" w:hAnsiTheme="minorHAnsi" w:cstheme="minorHAnsi"/>
          <w:b w:val="0"/>
          <w:bCs w:val="0"/>
          <w:i w:val="0"/>
          <w:color w:val="auto"/>
          <w:sz w:val="22"/>
          <w:szCs w:val="24"/>
        </w:rPr>
        <w:t xml:space="preserve">regulated </w:t>
      </w:r>
      <w:r w:rsidR="00045FC0" w:rsidRPr="00DE7790">
        <w:rPr>
          <w:rFonts w:asciiTheme="minorHAnsi" w:hAnsiTheme="minorHAnsi" w:cstheme="minorHAnsi"/>
          <w:b w:val="0"/>
          <w:bCs w:val="0"/>
          <w:i w:val="0"/>
          <w:color w:val="auto"/>
          <w:sz w:val="22"/>
          <w:szCs w:val="24"/>
        </w:rPr>
        <w:t>persons</w:t>
      </w:r>
      <w:r w:rsidRPr="00DE7790">
        <w:rPr>
          <w:rFonts w:asciiTheme="minorHAnsi" w:hAnsiTheme="minorHAnsi" w:cstheme="minorHAnsi"/>
          <w:b w:val="0"/>
          <w:bCs w:val="0"/>
          <w:i w:val="0"/>
          <w:color w:val="auto"/>
          <w:sz w:val="22"/>
          <w:szCs w:val="24"/>
        </w:rPr>
        <w:t xml:space="preserve"> are required to notify the ODC of material changes that are relevant to ongoing compliance with the Act and the conditions of the</w:t>
      </w:r>
      <w:r w:rsidR="002E7D87">
        <w:rPr>
          <w:rFonts w:asciiTheme="minorHAnsi" w:hAnsiTheme="minorHAnsi" w:cstheme="minorHAnsi"/>
          <w:b w:val="0"/>
          <w:bCs w:val="0"/>
          <w:i w:val="0"/>
          <w:color w:val="auto"/>
          <w:sz w:val="22"/>
          <w:szCs w:val="24"/>
        </w:rPr>
        <w:t>ir</w:t>
      </w:r>
      <w:r w:rsidRPr="00DE7790">
        <w:rPr>
          <w:rFonts w:asciiTheme="minorHAnsi" w:hAnsiTheme="minorHAnsi" w:cstheme="minorHAnsi"/>
          <w:b w:val="0"/>
          <w:bCs w:val="0"/>
          <w:i w:val="0"/>
          <w:color w:val="auto"/>
          <w:sz w:val="22"/>
          <w:szCs w:val="24"/>
        </w:rPr>
        <w:t xml:space="preserve"> licence.</w:t>
      </w:r>
      <w:r w:rsidRPr="00DE7790">
        <w:rPr>
          <w:rFonts w:ascii="Helvetica" w:eastAsiaTheme="minorHAnsi" w:hAnsi="Helvetica" w:cs="Helvetica"/>
          <w:b w:val="0"/>
          <w:bCs w:val="0"/>
          <w:i w:val="0"/>
          <w:color w:val="auto"/>
          <w:sz w:val="20"/>
          <w:szCs w:val="20"/>
          <w:shd w:val="clear" w:color="auto" w:fill="FFFFFF"/>
          <w:lang w:eastAsia="en-US"/>
        </w:rPr>
        <w:t xml:space="preserve"> </w:t>
      </w:r>
      <w:r w:rsidRPr="00DE7790">
        <w:rPr>
          <w:rFonts w:asciiTheme="minorHAnsi" w:hAnsiTheme="minorHAnsi" w:cstheme="minorHAnsi"/>
          <w:b w:val="0"/>
          <w:bCs w:val="0"/>
          <w:i w:val="0"/>
          <w:color w:val="auto"/>
          <w:sz w:val="22"/>
          <w:szCs w:val="24"/>
        </w:rPr>
        <w:t>We expect industry to have systems in place to undertake internal auditing and ensure compliance with the</w:t>
      </w:r>
      <w:r w:rsidR="002E7D87">
        <w:rPr>
          <w:rFonts w:asciiTheme="minorHAnsi" w:hAnsiTheme="minorHAnsi" w:cstheme="minorHAnsi"/>
          <w:b w:val="0"/>
          <w:bCs w:val="0"/>
          <w:i w:val="0"/>
          <w:color w:val="auto"/>
          <w:sz w:val="22"/>
          <w:szCs w:val="24"/>
        </w:rPr>
        <w:t>ir</w:t>
      </w:r>
      <w:r w:rsidRPr="00DE7790">
        <w:rPr>
          <w:rFonts w:asciiTheme="minorHAnsi" w:hAnsiTheme="minorHAnsi" w:cstheme="minorHAnsi"/>
          <w:b w:val="0"/>
          <w:bCs w:val="0"/>
          <w:i w:val="0"/>
          <w:color w:val="auto"/>
          <w:sz w:val="22"/>
          <w:szCs w:val="24"/>
        </w:rPr>
        <w:t xml:space="preserve"> licence conditions and the legislation.</w:t>
      </w:r>
    </w:p>
    <w:p w14:paraId="7346F7D0" w14:textId="77777777" w:rsidR="00C176AB" w:rsidRPr="00F57987" w:rsidRDefault="00C176AB" w:rsidP="00713D93">
      <w:pPr>
        <w:pStyle w:val="Heading3"/>
        <w:rPr>
          <w:b/>
          <w:bCs/>
          <w:i/>
        </w:rPr>
      </w:pPr>
      <w:r w:rsidRPr="00F57987">
        <w:t>Virtual Inspections</w:t>
      </w:r>
    </w:p>
    <w:p w14:paraId="049DD888" w14:textId="074031FF" w:rsidR="00C176AB" w:rsidRPr="00F57987" w:rsidRDefault="00C176AB" w:rsidP="00C176AB">
      <w:pPr>
        <w:spacing w:before="120" w:after="180" w:line="240" w:lineRule="atLeast"/>
        <w:rPr>
          <w:rFonts w:eastAsia="Cambria" w:cstheme="minorHAnsi"/>
          <w:b/>
          <w:bCs/>
        </w:rPr>
      </w:pPr>
      <w:r w:rsidRPr="00F57987">
        <w:rPr>
          <w:rFonts w:eastAsia="Cambria" w:cstheme="minorHAnsi"/>
        </w:rPr>
        <w:t xml:space="preserve">Virtual inspections form an important part of the ODC compliance program and assist </w:t>
      </w:r>
      <w:r>
        <w:rPr>
          <w:rFonts w:eastAsia="Cambria" w:cstheme="minorHAnsi"/>
        </w:rPr>
        <w:t>us</w:t>
      </w:r>
      <w:r w:rsidRPr="00F57987">
        <w:rPr>
          <w:rFonts w:eastAsia="Cambria" w:cstheme="minorHAnsi"/>
        </w:rPr>
        <w:t xml:space="preserve"> to deliver a flexible way of conducting </w:t>
      </w:r>
      <w:r>
        <w:rPr>
          <w:rFonts w:eastAsia="Cambria" w:cstheme="minorHAnsi"/>
        </w:rPr>
        <w:t>our</w:t>
      </w:r>
      <w:r w:rsidRPr="00F57987">
        <w:rPr>
          <w:rFonts w:eastAsia="Cambria" w:cstheme="minorHAnsi"/>
        </w:rPr>
        <w:t xml:space="preserve"> compliance program. Notices may be issued </w:t>
      </w:r>
      <w:r w:rsidRPr="00F57987">
        <w:rPr>
          <w:rFonts w:cstheme="minorHAnsi"/>
          <w:color w:val="222222"/>
        </w:rPr>
        <w:t xml:space="preserve">to obtain information and documents from </w:t>
      </w:r>
      <w:r w:rsidR="002E7D87">
        <w:rPr>
          <w:rFonts w:cstheme="minorHAnsi"/>
          <w:color w:val="222222"/>
        </w:rPr>
        <w:t xml:space="preserve">the </w:t>
      </w:r>
      <w:r>
        <w:rPr>
          <w:rFonts w:cstheme="minorHAnsi"/>
          <w:color w:val="222222"/>
        </w:rPr>
        <w:t>regulated person</w:t>
      </w:r>
      <w:r w:rsidR="002E7D87">
        <w:rPr>
          <w:rFonts w:cstheme="minorHAnsi"/>
          <w:color w:val="222222"/>
        </w:rPr>
        <w:t xml:space="preserve"> being inspected</w:t>
      </w:r>
      <w:r w:rsidRPr="00F57987">
        <w:rPr>
          <w:rFonts w:cstheme="minorHAnsi"/>
          <w:color w:val="222222"/>
        </w:rPr>
        <w:t>. The ODC may also seek information from other sources</w:t>
      </w:r>
      <w:r w:rsidRPr="00F57987">
        <w:rPr>
          <w:rFonts w:eastAsia="Cambria" w:cstheme="minorHAnsi"/>
        </w:rPr>
        <w:t xml:space="preserve"> to verify claims and detect non-compliance. Penalties may apply where a</w:t>
      </w:r>
      <w:r>
        <w:rPr>
          <w:rFonts w:eastAsia="Cambria" w:cstheme="minorHAnsi"/>
        </w:rPr>
        <w:t xml:space="preserve"> person</w:t>
      </w:r>
      <w:r w:rsidRPr="00F57987">
        <w:rPr>
          <w:rFonts w:eastAsia="Cambria" w:cstheme="minorHAnsi"/>
        </w:rPr>
        <w:t xml:space="preserve"> fails to provide the requested information.</w:t>
      </w:r>
    </w:p>
    <w:p w14:paraId="36889786" w14:textId="77777777" w:rsidR="00C176AB" w:rsidRPr="00F57987" w:rsidRDefault="00C176AB" w:rsidP="00713D93">
      <w:pPr>
        <w:pStyle w:val="Heading3"/>
        <w:rPr>
          <w:b/>
          <w:bCs/>
          <w:i/>
        </w:rPr>
      </w:pPr>
      <w:r w:rsidRPr="00F57987">
        <w:t>On-site Announced Inspections</w:t>
      </w:r>
    </w:p>
    <w:p w14:paraId="3129B969" w14:textId="44CAC234" w:rsidR="00C176AB" w:rsidRPr="00F57987" w:rsidRDefault="00C176AB" w:rsidP="00C176AB">
      <w:pPr>
        <w:shd w:val="clear" w:color="auto" w:fill="FFFFFF"/>
        <w:spacing w:line="300" w:lineRule="atLeast"/>
        <w:rPr>
          <w:rFonts w:cstheme="minorHAnsi"/>
          <w:b/>
          <w:bCs/>
          <w:color w:val="222222"/>
        </w:rPr>
      </w:pPr>
      <w:r w:rsidRPr="00F57987">
        <w:rPr>
          <w:rFonts w:cstheme="minorHAnsi"/>
        </w:rPr>
        <w:t xml:space="preserve">The ODC will undertake announced compliance inspections where the </w:t>
      </w:r>
      <w:r>
        <w:rPr>
          <w:rFonts w:cstheme="minorHAnsi"/>
        </w:rPr>
        <w:t xml:space="preserve">regulated person </w:t>
      </w:r>
      <w:r w:rsidRPr="00F57987">
        <w:rPr>
          <w:rFonts w:cstheme="minorHAnsi"/>
        </w:rPr>
        <w:t xml:space="preserve">will be notified in writing prior to the on-site visit being undertaken. These inspections are generally undertaken with the consent of the occupier of the site. </w:t>
      </w:r>
    </w:p>
    <w:p w14:paraId="28BAC0CC" w14:textId="77777777" w:rsidR="00C176AB" w:rsidRPr="00F57987" w:rsidRDefault="00C176AB" w:rsidP="00713D93">
      <w:pPr>
        <w:pStyle w:val="Heading3"/>
        <w:rPr>
          <w:b/>
          <w:bCs/>
          <w:i/>
        </w:rPr>
      </w:pPr>
      <w:r w:rsidRPr="00F57987">
        <w:t>On-site Unannounced Inspections</w:t>
      </w:r>
    </w:p>
    <w:p w14:paraId="1F8308CF" w14:textId="77777777" w:rsidR="00C176AB" w:rsidRPr="00F57987" w:rsidRDefault="00C176AB" w:rsidP="00C176AB">
      <w:pPr>
        <w:shd w:val="clear" w:color="auto" w:fill="FFFFFF"/>
        <w:spacing w:line="300" w:lineRule="atLeast"/>
        <w:rPr>
          <w:rFonts w:cstheme="minorHAnsi"/>
          <w:b/>
          <w:bCs/>
          <w:color w:val="222222"/>
        </w:rPr>
      </w:pPr>
      <w:r w:rsidRPr="00F57987">
        <w:rPr>
          <w:rFonts w:cstheme="minorHAnsi"/>
          <w:color w:val="222222"/>
        </w:rPr>
        <w:t>The ODC may conduct unannounced monitoring inspections where authorised inspectors will attend a premise</w:t>
      </w:r>
      <w:r>
        <w:rPr>
          <w:rFonts w:cstheme="minorHAnsi"/>
          <w:color w:val="222222"/>
        </w:rPr>
        <w:t>s</w:t>
      </w:r>
      <w:r w:rsidRPr="00F57987">
        <w:rPr>
          <w:rFonts w:cstheme="minorHAnsi"/>
          <w:color w:val="222222"/>
        </w:rPr>
        <w:t xml:space="preserve"> without notice. </w:t>
      </w:r>
      <w:r>
        <w:rPr>
          <w:rFonts w:cstheme="minorHAnsi"/>
          <w:color w:val="222222"/>
        </w:rPr>
        <w:t>While inspections may be conducted with consent of the occupier, the</w:t>
      </w:r>
      <w:r w:rsidRPr="00F57987">
        <w:rPr>
          <w:rFonts w:cstheme="minorHAnsi"/>
          <w:color w:val="222222"/>
        </w:rPr>
        <w:t xml:space="preserve"> Act gives authorised inspectors the power to enter premises without consent. As with announced inspections, </w:t>
      </w:r>
      <w:r>
        <w:rPr>
          <w:rFonts w:cstheme="minorHAnsi"/>
          <w:color w:val="222222"/>
        </w:rPr>
        <w:t>occupants</w:t>
      </w:r>
      <w:r w:rsidRPr="00F57987">
        <w:rPr>
          <w:rFonts w:cstheme="minorHAnsi"/>
          <w:color w:val="222222"/>
        </w:rPr>
        <w:t xml:space="preserve"> have the right to observe unannounced compliance inspections; but must not obstruct or hinder an authorised inspector – which is an offence under the Act.</w:t>
      </w:r>
    </w:p>
    <w:p w14:paraId="457A562C" w14:textId="77777777" w:rsidR="00045FC0" w:rsidRDefault="00045FC0">
      <w:pPr>
        <w:rPr>
          <w:rFonts w:ascii="Arial" w:eastAsia="Times New Roman" w:hAnsi="Arial" w:cs="Arial"/>
          <w:bCs/>
          <w:iCs/>
          <w:color w:val="358189"/>
          <w:sz w:val="32"/>
          <w:szCs w:val="28"/>
        </w:rPr>
      </w:pPr>
      <w:r>
        <w:br w:type="page"/>
      </w:r>
    </w:p>
    <w:p w14:paraId="00F5B79B" w14:textId="0E0A8AC5" w:rsidR="00C176AB" w:rsidRPr="00F57987" w:rsidRDefault="00C176AB" w:rsidP="00C176AB">
      <w:pPr>
        <w:pStyle w:val="Heading2"/>
        <w:spacing w:after="240"/>
      </w:pPr>
      <w:bookmarkStart w:id="14" w:name="_Toc125715068"/>
      <w:r>
        <w:lastRenderedPageBreak/>
        <w:t>9</w:t>
      </w:r>
      <w:r w:rsidRPr="00F57987">
        <w:t>. Investigations</w:t>
      </w:r>
      <w:bookmarkEnd w:id="14"/>
    </w:p>
    <w:p w14:paraId="6D9176F1" w14:textId="77777777" w:rsidR="00C176AB" w:rsidRDefault="00C176AB" w:rsidP="00C176AB">
      <w:pPr>
        <w:rPr>
          <w:rFonts w:cstheme="minorHAnsi"/>
          <w:color w:val="222222"/>
        </w:rPr>
      </w:pPr>
      <w:r w:rsidRPr="00F57987">
        <w:rPr>
          <w:rFonts w:cstheme="minorHAnsi"/>
          <w:color w:val="222222"/>
        </w:rPr>
        <w:t xml:space="preserve">The ODC will conduct investigations in accordance with the </w:t>
      </w:r>
      <w:hyperlink r:id="rId33" w:history="1">
        <w:r w:rsidRPr="00F57987">
          <w:rPr>
            <w:rStyle w:val="Hyperlink"/>
            <w:rFonts w:cstheme="minorHAnsi"/>
            <w:i/>
            <w:iCs/>
          </w:rPr>
          <w:t>Australian Government Investigations Standards</w:t>
        </w:r>
      </w:hyperlink>
      <w:r w:rsidRPr="00F57987">
        <w:rPr>
          <w:rFonts w:cstheme="minorHAnsi"/>
          <w:i/>
          <w:iCs/>
          <w:color w:val="222222"/>
        </w:rPr>
        <w:t xml:space="preserve"> </w:t>
      </w:r>
      <w:r w:rsidRPr="00F57987">
        <w:rPr>
          <w:rFonts w:cstheme="minorHAnsi"/>
          <w:color w:val="222222"/>
        </w:rPr>
        <w:t>(AGIS), which sets out the minimum standards by which government agencies are to conduct their investigations. The ODC investigates matters by utilising a range of evidence gathering powers and methods, such as</w:t>
      </w:r>
      <w:r>
        <w:rPr>
          <w:rFonts w:cstheme="minorHAnsi"/>
          <w:color w:val="222222"/>
        </w:rPr>
        <w:t>:</w:t>
      </w:r>
      <w:r w:rsidRPr="00F57987">
        <w:rPr>
          <w:rFonts w:cstheme="minorHAnsi"/>
          <w:color w:val="222222"/>
        </w:rPr>
        <w:t xml:space="preserve"> </w:t>
      </w:r>
    </w:p>
    <w:p w14:paraId="008D0041" w14:textId="77777777" w:rsidR="00C176AB" w:rsidRDefault="00C176AB" w:rsidP="00713D93">
      <w:pPr>
        <w:pStyle w:val="ListBullet"/>
      </w:pPr>
      <w:r w:rsidRPr="00916BDD">
        <w:t xml:space="preserve">using monitoring </w:t>
      </w:r>
      <w:r>
        <w:t>or</w:t>
      </w:r>
      <w:r w:rsidRPr="00D027B9">
        <w:t xml:space="preserve"> investigation powers under the Regulatory Powers Act</w:t>
      </w:r>
      <w:r>
        <w:t>;</w:t>
      </w:r>
      <w:r w:rsidRPr="00D027B9">
        <w:t xml:space="preserve"> </w:t>
      </w:r>
    </w:p>
    <w:p w14:paraId="3C4F70A4" w14:textId="60327C1B" w:rsidR="00C176AB" w:rsidRDefault="00C176AB" w:rsidP="00713D93">
      <w:pPr>
        <w:pStyle w:val="ListBullet"/>
      </w:pPr>
      <w:r>
        <w:t>requiring production of</w:t>
      </w:r>
      <w:r w:rsidRPr="00D027B9">
        <w:t xml:space="preserve"> information or documents by way of a notice</w:t>
      </w:r>
      <w:r w:rsidR="001E2273">
        <w:t xml:space="preserve"> under the Act</w:t>
      </w:r>
      <w:r w:rsidRPr="00D027B9">
        <w:t xml:space="preserve">, or </w:t>
      </w:r>
    </w:p>
    <w:p w14:paraId="4EA111CE" w14:textId="77777777" w:rsidR="00C176AB" w:rsidRDefault="00C176AB" w:rsidP="00713D93">
      <w:pPr>
        <w:pStyle w:val="ListBullet"/>
      </w:pPr>
      <w:r w:rsidRPr="00D027B9">
        <w:t xml:space="preserve">referring matters to law enforcement. </w:t>
      </w:r>
    </w:p>
    <w:p w14:paraId="6A768DB5" w14:textId="77777777" w:rsidR="00424193" w:rsidRPr="00F57987" w:rsidRDefault="00424193" w:rsidP="00E10A2F">
      <w:pPr>
        <w:pStyle w:val="Heading2"/>
        <w:spacing w:before="360" w:after="240"/>
      </w:pPr>
      <w:bookmarkStart w:id="15" w:name="_Toc125715069"/>
      <w:r>
        <w:t>10</w:t>
      </w:r>
      <w:r w:rsidRPr="00F57987">
        <w:t xml:space="preserve">. </w:t>
      </w:r>
      <w:r>
        <w:t>E</w:t>
      </w:r>
      <w:r w:rsidRPr="00F57987">
        <w:t>nforcement</w:t>
      </w:r>
      <w:bookmarkEnd w:id="15"/>
      <w:r w:rsidRPr="00F57987">
        <w:t xml:space="preserve"> </w:t>
      </w:r>
    </w:p>
    <w:p w14:paraId="395F30C9" w14:textId="3A24C282" w:rsidR="00424193" w:rsidRPr="00045FC0" w:rsidRDefault="00424193" w:rsidP="00713D93">
      <w:pPr>
        <w:pStyle w:val="Heading3"/>
        <w:rPr>
          <w:i/>
        </w:rPr>
      </w:pPr>
      <w:r w:rsidRPr="00424193">
        <w:t>Hierarchy of regulatory responses</w:t>
      </w:r>
    </w:p>
    <w:p w14:paraId="7C7BD4F4" w14:textId="52AADFBD" w:rsidR="00424193" w:rsidRPr="008B0ECC" w:rsidRDefault="00424193" w:rsidP="00424193">
      <w:pPr>
        <w:shd w:val="clear" w:color="auto" w:fill="FFFFFF"/>
        <w:spacing w:line="300" w:lineRule="atLeast"/>
        <w:rPr>
          <w:rFonts w:cstheme="minorHAnsi"/>
          <w:color w:val="222222"/>
        </w:rPr>
      </w:pPr>
      <w:r w:rsidRPr="008B0ECC">
        <w:rPr>
          <w:rFonts w:cstheme="minorHAnsi"/>
          <w:color w:val="222222"/>
        </w:rPr>
        <w:t xml:space="preserve">In the first instance, the ODC will often work with the </w:t>
      </w:r>
      <w:r w:rsidR="00797A80">
        <w:rPr>
          <w:rFonts w:cstheme="minorHAnsi"/>
          <w:color w:val="222222"/>
        </w:rPr>
        <w:t xml:space="preserve">regulated person </w:t>
      </w:r>
      <w:r w:rsidRPr="008B0ECC">
        <w:rPr>
          <w:rFonts w:cstheme="minorHAnsi"/>
          <w:color w:val="222222"/>
        </w:rPr>
        <w:t xml:space="preserve">to provide education and </w:t>
      </w:r>
      <w:r w:rsidR="00223A69">
        <w:rPr>
          <w:rFonts w:cstheme="minorHAnsi"/>
          <w:color w:val="222222"/>
        </w:rPr>
        <w:t>information</w:t>
      </w:r>
      <w:r w:rsidR="00223A69" w:rsidRPr="008B0ECC">
        <w:rPr>
          <w:rFonts w:cstheme="minorHAnsi"/>
          <w:color w:val="222222"/>
        </w:rPr>
        <w:t xml:space="preserve"> </w:t>
      </w:r>
      <w:r w:rsidRPr="008B0ECC">
        <w:rPr>
          <w:rFonts w:cstheme="minorHAnsi"/>
          <w:color w:val="222222"/>
        </w:rPr>
        <w:t xml:space="preserve">to assist </w:t>
      </w:r>
      <w:r w:rsidR="00797A80">
        <w:rPr>
          <w:rFonts w:cstheme="minorHAnsi"/>
          <w:color w:val="222222"/>
        </w:rPr>
        <w:t xml:space="preserve">them </w:t>
      </w:r>
      <w:r w:rsidRPr="008B0ECC">
        <w:rPr>
          <w:rFonts w:cstheme="minorHAnsi"/>
          <w:color w:val="222222"/>
        </w:rPr>
        <w:t>to achieve compliance. However, escalation of regulatory action will be considered if:</w:t>
      </w:r>
    </w:p>
    <w:p w14:paraId="35A58C74" w14:textId="00563AE4" w:rsidR="00424193" w:rsidRPr="008B0ECC" w:rsidRDefault="00424193" w:rsidP="00713D93">
      <w:pPr>
        <w:pStyle w:val="ListBullet"/>
      </w:pPr>
      <w:r w:rsidRPr="008B0ECC">
        <w:t xml:space="preserve">the </w:t>
      </w:r>
      <w:r w:rsidR="00797A80">
        <w:t>regulated person</w:t>
      </w:r>
      <w:r w:rsidR="00797A80" w:rsidRPr="008B0ECC">
        <w:t xml:space="preserve"> </w:t>
      </w:r>
      <w:r w:rsidRPr="008B0ECC">
        <w:t>has repeat breaches or is not willing to comply, and/or</w:t>
      </w:r>
    </w:p>
    <w:p w14:paraId="2B0A02B4" w14:textId="77777777" w:rsidR="00424193" w:rsidRDefault="00424193" w:rsidP="00713D93">
      <w:pPr>
        <w:pStyle w:val="ListBullet"/>
      </w:pPr>
      <w:r w:rsidRPr="008B0ECC">
        <w:t>the alleged breach is likely to result in diversion of narcotics for illicit purposes.</w:t>
      </w:r>
    </w:p>
    <w:p w14:paraId="3A166E96" w14:textId="77777777" w:rsidR="00424193" w:rsidRPr="008B0ECC" w:rsidRDefault="00424193" w:rsidP="00424193">
      <w:pPr>
        <w:shd w:val="clear" w:color="auto" w:fill="FFFFFF"/>
        <w:spacing w:line="300" w:lineRule="atLeast"/>
        <w:rPr>
          <w:rFonts w:cstheme="minorHAnsi"/>
          <w:color w:val="222222"/>
        </w:rPr>
      </w:pPr>
      <w:r w:rsidRPr="008B0ECC">
        <w:rPr>
          <w:rFonts w:cstheme="minorHAnsi"/>
          <w:color w:val="222222"/>
        </w:rPr>
        <w:t>A range of compliance and enforcement tools are employed to address alleged non-compliance, either individually or in combination, and to encourage compliance with the Act. These are depicted in the diagram below.</w:t>
      </w:r>
    </w:p>
    <w:p w14:paraId="099D3701" w14:textId="77777777" w:rsidR="00424193" w:rsidRPr="00F57987" w:rsidRDefault="00424193" w:rsidP="00424193">
      <w:pPr>
        <w:pStyle w:val="TableHeading"/>
        <w:numPr>
          <w:ilvl w:val="0"/>
          <w:numId w:val="1"/>
        </w:numPr>
        <w:jc w:val="center"/>
        <w:rPr>
          <w:rFonts w:ascii="Arial" w:hAnsi="Arial" w:cs="Arial"/>
        </w:rPr>
      </w:pPr>
      <w:r w:rsidRPr="00F57987">
        <w:rPr>
          <w:rFonts w:ascii="Arial" w:hAnsi="Arial" w:cs="Arial"/>
          <w:noProof/>
        </w:rPr>
        <w:drawing>
          <wp:inline distT="0" distB="0" distL="0" distR="0" wp14:anchorId="6F53D1EA" wp14:editId="7DA8F2D1">
            <wp:extent cx="4057650" cy="3067050"/>
            <wp:effectExtent l="57150" t="57150" r="57150" b="5715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inline>
        </w:drawing>
      </w:r>
    </w:p>
    <w:p w14:paraId="045921E9" w14:textId="77777777" w:rsidR="00424193" w:rsidRDefault="00424193" w:rsidP="00045FC0">
      <w:pPr>
        <w:pStyle w:val="Paragraphtext"/>
        <w:spacing w:after="120"/>
        <w:rPr>
          <w:rFonts w:asciiTheme="minorHAnsi" w:hAnsiTheme="minorHAnsi" w:cstheme="minorHAnsi"/>
          <w:sz w:val="22"/>
          <w:szCs w:val="22"/>
        </w:rPr>
      </w:pPr>
    </w:p>
    <w:p w14:paraId="22C84232" w14:textId="6735F51D" w:rsidR="00D37A37" w:rsidRPr="00F57987" w:rsidRDefault="00D37A37" w:rsidP="00D37A37">
      <w:pPr>
        <w:pStyle w:val="Heading2"/>
        <w:spacing w:after="240"/>
      </w:pPr>
      <w:bookmarkStart w:id="16" w:name="_Toc111825254"/>
      <w:bookmarkStart w:id="17" w:name="_Toc125715070"/>
      <w:r w:rsidRPr="00F57987">
        <w:lastRenderedPageBreak/>
        <w:t>1</w:t>
      </w:r>
      <w:r w:rsidR="00C176AB">
        <w:t>1</w:t>
      </w:r>
      <w:r w:rsidRPr="00F57987">
        <w:t>. Administrative Law Principles</w:t>
      </w:r>
      <w:bookmarkEnd w:id="16"/>
      <w:bookmarkEnd w:id="17"/>
    </w:p>
    <w:p w14:paraId="59081EEA" w14:textId="69CB62E2" w:rsidR="004B4E49" w:rsidRPr="004B4E49" w:rsidRDefault="00FA7ED8" w:rsidP="004B4E49">
      <w:pPr>
        <w:rPr>
          <w:rFonts w:cstheme="minorHAnsi"/>
        </w:rPr>
      </w:pPr>
      <w:r>
        <w:rPr>
          <w:rFonts w:cstheme="minorHAnsi"/>
        </w:rPr>
        <w:t xml:space="preserve">The ODC </w:t>
      </w:r>
      <w:r w:rsidR="004B4E49" w:rsidRPr="004B4E49">
        <w:rPr>
          <w:rFonts w:cstheme="minorHAnsi"/>
        </w:rPr>
        <w:t>undertake</w:t>
      </w:r>
      <w:r>
        <w:rPr>
          <w:rFonts w:cstheme="minorHAnsi"/>
        </w:rPr>
        <w:t>s</w:t>
      </w:r>
      <w:r w:rsidR="004B4E49" w:rsidRPr="004B4E49">
        <w:rPr>
          <w:rFonts w:cstheme="minorHAnsi"/>
        </w:rPr>
        <w:t xml:space="preserve"> </w:t>
      </w:r>
      <w:r w:rsidR="00D027B9">
        <w:rPr>
          <w:rFonts w:cstheme="minorHAnsi"/>
        </w:rPr>
        <w:t>its</w:t>
      </w:r>
      <w:r w:rsidR="00D027B9" w:rsidRPr="004B4E49">
        <w:rPr>
          <w:rFonts w:cstheme="minorHAnsi"/>
        </w:rPr>
        <w:t xml:space="preserve"> </w:t>
      </w:r>
      <w:r w:rsidR="004B4E49" w:rsidRPr="004B4E49">
        <w:rPr>
          <w:rFonts w:cstheme="minorHAnsi"/>
        </w:rPr>
        <w:t>compliance activities with integrity, professionalism and with due regard to procedural fairness</w:t>
      </w:r>
      <w:r w:rsidR="004B4E49">
        <w:rPr>
          <w:rFonts w:cstheme="minorHAnsi"/>
        </w:rPr>
        <w:t xml:space="preserve"> and provide</w:t>
      </w:r>
      <w:r w:rsidR="00D027B9">
        <w:rPr>
          <w:rFonts w:cstheme="minorHAnsi"/>
        </w:rPr>
        <w:t>s</w:t>
      </w:r>
      <w:r w:rsidR="004B4E49">
        <w:rPr>
          <w:rFonts w:cstheme="minorHAnsi"/>
        </w:rPr>
        <w:t xml:space="preserve"> information of the persons’ rights </w:t>
      </w:r>
      <w:r>
        <w:rPr>
          <w:rFonts w:cstheme="minorHAnsi"/>
        </w:rPr>
        <w:t xml:space="preserve">so they can meet </w:t>
      </w:r>
      <w:r w:rsidR="004B4E49">
        <w:rPr>
          <w:rFonts w:cstheme="minorHAnsi"/>
        </w:rPr>
        <w:t>their obligations.</w:t>
      </w:r>
    </w:p>
    <w:p w14:paraId="79C9C0E7" w14:textId="19CE6DB1" w:rsidR="004B4E49" w:rsidRPr="00DE7790" w:rsidRDefault="00D37A37" w:rsidP="004B4E49">
      <w:pPr>
        <w:rPr>
          <w:rFonts w:cstheme="minorHAnsi"/>
        </w:rPr>
      </w:pPr>
      <w:r w:rsidRPr="00F57987">
        <w:rPr>
          <w:rFonts w:cstheme="minorHAnsi"/>
        </w:rPr>
        <w:t xml:space="preserve">The Act provides a framework for </w:t>
      </w:r>
      <w:r w:rsidR="00797A80">
        <w:rPr>
          <w:rFonts w:cstheme="minorHAnsi"/>
        </w:rPr>
        <w:t xml:space="preserve">merits </w:t>
      </w:r>
      <w:r w:rsidRPr="00F57987">
        <w:rPr>
          <w:rFonts w:cstheme="minorHAnsi"/>
        </w:rPr>
        <w:t>review of a range of administrative decisions, this includes a process for review by the Minister or, if delegated, an internal reviewer.</w:t>
      </w:r>
      <w:r w:rsidR="00797A80">
        <w:rPr>
          <w:rFonts w:cstheme="minorHAnsi"/>
        </w:rPr>
        <w:t xml:space="preserve"> The Act provides for i</w:t>
      </w:r>
      <w:r w:rsidRPr="00F57987">
        <w:rPr>
          <w:rFonts w:cstheme="minorHAnsi"/>
        </w:rPr>
        <w:t xml:space="preserve">nternal review decisions </w:t>
      </w:r>
      <w:r w:rsidR="00797A80">
        <w:rPr>
          <w:rFonts w:cstheme="minorHAnsi"/>
        </w:rPr>
        <w:t xml:space="preserve">to be </w:t>
      </w:r>
      <w:r w:rsidRPr="00F57987">
        <w:rPr>
          <w:rFonts w:cstheme="minorHAnsi"/>
        </w:rPr>
        <w:t xml:space="preserve">subject to review by the Administrative Appeals Tribunal in accordance with the </w:t>
      </w:r>
      <w:hyperlink r:id="rId39" w:history="1">
        <w:r w:rsidRPr="00F57987">
          <w:rPr>
            <w:rStyle w:val="Hyperlink"/>
            <w:rFonts w:cstheme="minorHAnsi"/>
            <w:i/>
          </w:rPr>
          <w:t>Administrative Appeals Tribunal Act 1975</w:t>
        </w:r>
      </w:hyperlink>
      <w:r w:rsidRPr="00F57987">
        <w:rPr>
          <w:rFonts w:cstheme="minorHAnsi"/>
        </w:rPr>
        <w:t>.</w:t>
      </w:r>
      <w:r w:rsidR="004B4E49" w:rsidRPr="004B4E49">
        <w:rPr>
          <w:rFonts w:ascii="Segoe UI" w:eastAsia="Times New Roman" w:hAnsi="Segoe UI" w:cs="Segoe UI"/>
          <w:color w:val="313131"/>
          <w:sz w:val="24"/>
          <w:szCs w:val="24"/>
          <w:lang w:eastAsia="en-AU"/>
        </w:rPr>
        <w:t xml:space="preserve"> </w:t>
      </w:r>
    </w:p>
    <w:p w14:paraId="40B5E05D" w14:textId="77777777" w:rsidR="00D37A37" w:rsidRPr="00F57987" w:rsidRDefault="00D37A37" w:rsidP="00D37A37">
      <w:pPr>
        <w:rPr>
          <w:rFonts w:cstheme="minorHAnsi"/>
        </w:rPr>
      </w:pPr>
      <w:r w:rsidRPr="00F57987">
        <w:rPr>
          <w:rFonts w:cstheme="minorHAnsi"/>
        </w:rPr>
        <w:t xml:space="preserve">The </w:t>
      </w:r>
      <w:hyperlink r:id="rId40" w:history="1">
        <w:r w:rsidRPr="00F57987">
          <w:rPr>
            <w:rStyle w:val="Hyperlink"/>
            <w:rFonts w:cstheme="minorHAnsi"/>
            <w:i/>
          </w:rPr>
          <w:t>Administrative Decisions (Judicial Review) Act 2017</w:t>
        </w:r>
      </w:hyperlink>
      <w:r w:rsidRPr="00F57987">
        <w:rPr>
          <w:rFonts w:cstheme="minorHAnsi"/>
          <w:i/>
        </w:rPr>
        <w:t xml:space="preserve"> </w:t>
      </w:r>
      <w:r w:rsidRPr="00F57987">
        <w:rPr>
          <w:rFonts w:cstheme="minorHAnsi"/>
          <w:iCs/>
        </w:rPr>
        <w:t xml:space="preserve">also </w:t>
      </w:r>
      <w:r w:rsidRPr="00F57987">
        <w:rPr>
          <w:rFonts w:cstheme="minorHAnsi"/>
        </w:rPr>
        <w:t xml:space="preserve">provides for decisions to be subject to judicial review unless prescribed as exempt. </w:t>
      </w:r>
    </w:p>
    <w:sectPr w:rsidR="00D37A37" w:rsidRPr="00F57987" w:rsidSect="00D37A37">
      <w:headerReference w:type="default" r:id="rId41"/>
      <w:footerReference w:type="default" r:id="rId42"/>
      <w:headerReference w:type="first" r:id="rId4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9F994C" w14:textId="77777777" w:rsidR="00CA1FB2" w:rsidRDefault="00CA1FB2" w:rsidP="00D37A37">
      <w:pPr>
        <w:spacing w:after="0" w:line="240" w:lineRule="auto"/>
      </w:pPr>
      <w:r>
        <w:separator/>
      </w:r>
    </w:p>
  </w:endnote>
  <w:endnote w:type="continuationSeparator" w:id="0">
    <w:p w14:paraId="7CD0C557" w14:textId="77777777" w:rsidR="00CA1FB2" w:rsidRDefault="00CA1FB2" w:rsidP="00D37A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i/>
        <w:iCs/>
      </w:rPr>
      <w:id w:val="-546308250"/>
      <w:docPartObj>
        <w:docPartGallery w:val="Page Numbers (Bottom of Page)"/>
        <w:docPartUnique/>
      </w:docPartObj>
    </w:sdtPr>
    <w:sdtEndPr/>
    <w:sdtContent>
      <w:sdt>
        <w:sdtPr>
          <w:rPr>
            <w:i/>
            <w:iCs/>
          </w:rPr>
          <w:id w:val="-1769616900"/>
          <w:docPartObj>
            <w:docPartGallery w:val="Page Numbers (Top of Page)"/>
            <w:docPartUnique/>
          </w:docPartObj>
        </w:sdtPr>
        <w:sdtEndPr/>
        <w:sdtContent>
          <w:p w14:paraId="145E2998" w14:textId="77777777" w:rsidR="00D37A37" w:rsidRDefault="00D37A37" w:rsidP="00D37A37">
            <w:pPr>
              <w:pStyle w:val="Footer"/>
              <w:rPr>
                <w:i/>
                <w:iCs/>
              </w:rPr>
            </w:pPr>
          </w:p>
          <w:p w14:paraId="76379ACA" w14:textId="19C639F7" w:rsidR="00D37A37" w:rsidRPr="00D37A37" w:rsidRDefault="00D37A37" w:rsidP="00D37A37">
            <w:pPr>
              <w:pStyle w:val="Footer"/>
              <w:rPr>
                <w:i/>
                <w:iCs/>
              </w:rPr>
            </w:pPr>
            <w:r w:rsidRPr="00D37A37">
              <w:rPr>
                <w:i/>
                <w:iCs/>
              </w:rPr>
              <w:t>Compliance and Enforcement Framework 202</w:t>
            </w:r>
            <w:r w:rsidR="00A03C53">
              <w:rPr>
                <w:i/>
                <w:iCs/>
              </w:rPr>
              <w:t>3</w:t>
            </w:r>
            <w:r w:rsidRPr="00D37A37">
              <w:rPr>
                <w:i/>
                <w:iCs/>
              </w:rPr>
              <w:t xml:space="preserve"> – 202</w:t>
            </w:r>
            <w:r w:rsidR="00A03C53">
              <w:rPr>
                <w:i/>
                <w:iCs/>
              </w:rPr>
              <w:t>5</w:t>
            </w:r>
            <w:r w:rsidRPr="00D37A37">
              <w:rPr>
                <w:i/>
                <w:iCs/>
              </w:rPr>
              <w:t>, Version 1.0</w:t>
            </w:r>
            <w:r w:rsidRPr="00D37A37">
              <w:rPr>
                <w:i/>
                <w:iCs/>
              </w:rPr>
              <w:tab/>
              <w:t xml:space="preserve">Page </w:t>
            </w:r>
            <w:r w:rsidRPr="00D37A37">
              <w:rPr>
                <w:i/>
                <w:iCs/>
              </w:rPr>
              <w:fldChar w:fldCharType="begin"/>
            </w:r>
            <w:r w:rsidRPr="00D37A37">
              <w:rPr>
                <w:i/>
                <w:iCs/>
              </w:rPr>
              <w:instrText xml:space="preserve"> PAGE </w:instrText>
            </w:r>
            <w:r w:rsidRPr="00D37A37">
              <w:rPr>
                <w:i/>
                <w:iCs/>
              </w:rPr>
              <w:fldChar w:fldCharType="separate"/>
            </w:r>
            <w:r w:rsidRPr="00D37A37">
              <w:rPr>
                <w:i/>
                <w:iCs/>
                <w:noProof/>
              </w:rPr>
              <w:t>2</w:t>
            </w:r>
            <w:r w:rsidRPr="00D37A37">
              <w:rPr>
                <w:i/>
                <w:iCs/>
              </w:rPr>
              <w:fldChar w:fldCharType="end"/>
            </w:r>
            <w:r w:rsidRPr="00D37A37">
              <w:rPr>
                <w:i/>
                <w:iCs/>
              </w:rPr>
              <w:t xml:space="preserve"> of </w:t>
            </w:r>
            <w:r w:rsidRPr="00D37A37">
              <w:rPr>
                <w:i/>
                <w:iCs/>
              </w:rPr>
              <w:fldChar w:fldCharType="begin"/>
            </w:r>
            <w:r w:rsidRPr="00D37A37">
              <w:rPr>
                <w:i/>
                <w:iCs/>
              </w:rPr>
              <w:instrText xml:space="preserve"> NUMPAGES  </w:instrText>
            </w:r>
            <w:r w:rsidRPr="00D37A37">
              <w:rPr>
                <w:i/>
                <w:iCs/>
              </w:rPr>
              <w:fldChar w:fldCharType="separate"/>
            </w:r>
            <w:r w:rsidRPr="00D37A37">
              <w:rPr>
                <w:i/>
                <w:iCs/>
                <w:noProof/>
              </w:rPr>
              <w:t>2</w:t>
            </w:r>
            <w:r w:rsidRPr="00D37A37">
              <w:rPr>
                <w:i/>
                <w:iCs/>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72C9AA" w14:textId="77777777" w:rsidR="00CA1FB2" w:rsidRDefault="00CA1FB2" w:rsidP="00D37A37">
      <w:pPr>
        <w:spacing w:after="0" w:line="240" w:lineRule="auto"/>
      </w:pPr>
      <w:r>
        <w:separator/>
      </w:r>
    </w:p>
  </w:footnote>
  <w:footnote w:type="continuationSeparator" w:id="0">
    <w:p w14:paraId="69B8E4D5" w14:textId="77777777" w:rsidR="00CA1FB2" w:rsidRDefault="00CA1FB2" w:rsidP="00D37A37">
      <w:pPr>
        <w:spacing w:after="0" w:line="240" w:lineRule="auto"/>
      </w:pPr>
      <w:r>
        <w:continuationSeparator/>
      </w:r>
    </w:p>
  </w:footnote>
  <w:footnote w:id="1">
    <w:p w14:paraId="626F599E" w14:textId="23234648" w:rsidR="009C4217" w:rsidRDefault="009C4217">
      <w:pPr>
        <w:pStyle w:val="FootnoteText"/>
      </w:pPr>
      <w:r>
        <w:rPr>
          <w:rStyle w:val="FootnoteReference"/>
        </w:rPr>
        <w:footnoteRef/>
      </w:r>
      <w:r>
        <w:t xml:space="preserve"> </w:t>
      </w:r>
      <w:bookmarkStart w:id="2" w:name="_Hlk112230693"/>
      <w:r>
        <w:t>In this document any expressions used to denote persons generally (such as “person”, “party”, “someone” etc), includes a body politic or corporation as well as an individual</w:t>
      </w:r>
      <w:bookmarkEnd w:id="2"/>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E0FE" w14:textId="3BB0BE8D" w:rsidR="0083289F" w:rsidRPr="0083289F" w:rsidRDefault="0083289F" w:rsidP="0083289F">
    <w:pPr>
      <w:pStyle w:val="Header"/>
      <w:jc w:val="center"/>
      <w:rPr>
        <w:rFonts w:ascii="Arial" w:hAnsi="Arial" w:cs="Arial"/>
        <w:b/>
        <w:bCs/>
        <w:color w:val="FF0000"/>
      </w:rPr>
    </w:pPr>
    <w:r w:rsidRPr="0083289F">
      <w:rPr>
        <w:rFonts w:ascii="Arial" w:hAnsi="Arial" w:cs="Arial"/>
        <w:b/>
        <w:bCs/>
        <w:color w:val="FF0000"/>
      </w:rPr>
      <w:t>OFFICIAL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08504" w14:textId="0427CF18" w:rsidR="00D37A37" w:rsidRDefault="00D37A37">
    <w:pPr>
      <w:pStyle w:val="Header"/>
    </w:pPr>
    <w:r>
      <w:rPr>
        <w:noProof/>
      </w:rPr>
      <w:drawing>
        <wp:inline distT="0" distB="0" distL="0" distR="0" wp14:anchorId="280FC26E" wp14:editId="7FA2C4DB">
          <wp:extent cx="3345775" cy="781050"/>
          <wp:effectExtent l="0" t="0" r="762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76874" cy="78831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8249F1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E1649E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9ACD46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AFE905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76EA41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DEE0F5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ADE1E3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D7EB45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B86E3A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61A0D3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3F6AB7"/>
    <w:multiLevelType w:val="hybridMultilevel"/>
    <w:tmpl w:val="4026534E"/>
    <w:lvl w:ilvl="0" w:tplc="97C6F298">
      <w:numFmt w:val="bullet"/>
      <w:lvlText w:val="•"/>
      <w:lvlJc w:val="left"/>
      <w:pPr>
        <w:ind w:left="1080" w:hanging="720"/>
      </w:pPr>
      <w:rPr>
        <w:rFonts w:ascii="Calibri" w:eastAsia="Times New Roman"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75D2B0E"/>
    <w:multiLevelType w:val="hybridMultilevel"/>
    <w:tmpl w:val="D34220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D966B0B"/>
    <w:multiLevelType w:val="multilevel"/>
    <w:tmpl w:val="98CE8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9743C63"/>
    <w:multiLevelType w:val="hybridMultilevel"/>
    <w:tmpl w:val="B8C4AF68"/>
    <w:lvl w:ilvl="0" w:tplc="D512B176">
      <w:start w:val="9"/>
      <w:numFmt w:val="bullet"/>
      <w:lvlText w:val=""/>
      <w:lvlJc w:val="left"/>
      <w:pPr>
        <w:ind w:left="1080" w:hanging="360"/>
      </w:pPr>
      <w:rPr>
        <w:rFonts w:ascii="Symbol" w:eastAsia="Times New Roman" w:hAnsi="Symbol" w:cstheme="minorHAns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1E380EF8"/>
    <w:multiLevelType w:val="hybridMultilevel"/>
    <w:tmpl w:val="EA4AD9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7716524"/>
    <w:multiLevelType w:val="multilevel"/>
    <w:tmpl w:val="C63EB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BAB69C2"/>
    <w:multiLevelType w:val="hybridMultilevel"/>
    <w:tmpl w:val="FFE834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A97006B"/>
    <w:multiLevelType w:val="hybridMultilevel"/>
    <w:tmpl w:val="78EA4B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3B156D"/>
    <w:multiLevelType w:val="multilevel"/>
    <w:tmpl w:val="7878F0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A2B12B2"/>
    <w:multiLevelType w:val="hybridMultilevel"/>
    <w:tmpl w:val="C898FAB0"/>
    <w:lvl w:ilvl="0" w:tplc="0C090001">
      <w:start w:val="1"/>
      <w:numFmt w:val="bullet"/>
      <w:lvlText w:val=""/>
      <w:lvlJc w:val="left"/>
      <w:pPr>
        <w:ind w:left="768" w:hanging="360"/>
      </w:pPr>
      <w:rPr>
        <w:rFonts w:ascii="Symbol" w:hAnsi="Symbol" w:hint="default"/>
      </w:rPr>
    </w:lvl>
    <w:lvl w:ilvl="1" w:tplc="0C090003" w:tentative="1">
      <w:start w:val="1"/>
      <w:numFmt w:val="bullet"/>
      <w:lvlText w:val="o"/>
      <w:lvlJc w:val="left"/>
      <w:pPr>
        <w:ind w:left="1488" w:hanging="360"/>
      </w:pPr>
      <w:rPr>
        <w:rFonts w:ascii="Courier New" w:hAnsi="Courier New" w:cs="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cs="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cs="Courier New" w:hint="default"/>
      </w:rPr>
    </w:lvl>
    <w:lvl w:ilvl="8" w:tplc="0C090005" w:tentative="1">
      <w:start w:val="1"/>
      <w:numFmt w:val="bullet"/>
      <w:lvlText w:val=""/>
      <w:lvlJc w:val="left"/>
      <w:pPr>
        <w:ind w:left="6528" w:hanging="360"/>
      </w:pPr>
      <w:rPr>
        <w:rFonts w:ascii="Wingdings" w:hAnsi="Wingdings" w:hint="default"/>
      </w:rPr>
    </w:lvl>
  </w:abstractNum>
  <w:abstractNum w:abstractNumId="20" w15:restartNumberingAfterBreak="0">
    <w:nsid w:val="4AA900D3"/>
    <w:multiLevelType w:val="hybridMultilevel"/>
    <w:tmpl w:val="C39491E4"/>
    <w:lvl w:ilvl="0" w:tplc="7124FEF0">
      <w:start w:val="1"/>
      <w:numFmt w:val="bullet"/>
      <w:lvlText w:val=""/>
      <w:lvlJc w:val="left"/>
      <w:pPr>
        <w:ind w:left="720" w:hanging="360"/>
      </w:pPr>
      <w:rPr>
        <w:rFonts w:ascii="Symbol" w:eastAsia="Times New Roman" w:hAnsi="Symbol" w:cstheme="minorHAnsi" w:hint="default"/>
        <w:i w:val="0"/>
        <w:iCs/>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000648A"/>
    <w:multiLevelType w:val="hybridMultilevel"/>
    <w:tmpl w:val="5C86F95C"/>
    <w:lvl w:ilvl="0" w:tplc="3FE0F2CE">
      <w:start w:val="9"/>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4B9765F"/>
    <w:multiLevelType w:val="hybridMultilevel"/>
    <w:tmpl w:val="F942F612"/>
    <w:lvl w:ilvl="0" w:tplc="7124FEF0">
      <w:start w:val="1"/>
      <w:numFmt w:val="bullet"/>
      <w:lvlText w:val=""/>
      <w:lvlJc w:val="left"/>
      <w:pPr>
        <w:ind w:left="1080" w:hanging="360"/>
      </w:pPr>
      <w:rPr>
        <w:rFonts w:ascii="Symbol" w:eastAsia="Times New Roman" w:hAnsi="Symbol" w:cstheme="minorHAnsi" w:hint="default"/>
        <w:i w:val="0"/>
        <w:iCs/>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15:restartNumberingAfterBreak="0">
    <w:nsid w:val="5C8A6EED"/>
    <w:multiLevelType w:val="multilevel"/>
    <w:tmpl w:val="A14C5B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43E743B"/>
    <w:multiLevelType w:val="multilevel"/>
    <w:tmpl w:val="8CFC1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BEC7904"/>
    <w:multiLevelType w:val="hybridMultilevel"/>
    <w:tmpl w:val="AB5C54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5"/>
  </w:num>
  <w:num w:numId="2">
    <w:abstractNumId w:val="11"/>
  </w:num>
  <w:num w:numId="3">
    <w:abstractNumId w:val="20"/>
  </w:num>
  <w:num w:numId="4">
    <w:abstractNumId w:val="14"/>
  </w:num>
  <w:num w:numId="5">
    <w:abstractNumId w:val="22"/>
  </w:num>
  <w:num w:numId="6">
    <w:abstractNumId w:val="10"/>
  </w:num>
  <w:num w:numId="7">
    <w:abstractNumId w:val="16"/>
  </w:num>
  <w:num w:numId="8">
    <w:abstractNumId w:val="19"/>
  </w:num>
  <w:num w:numId="9">
    <w:abstractNumId w:val="13"/>
  </w:num>
  <w:num w:numId="10">
    <w:abstractNumId w:val="23"/>
  </w:num>
  <w:num w:numId="11">
    <w:abstractNumId w:val="24"/>
  </w:num>
  <w:num w:numId="12">
    <w:abstractNumId w:val="12"/>
  </w:num>
  <w:num w:numId="13">
    <w:abstractNumId w:val="18"/>
  </w:num>
  <w:num w:numId="14">
    <w:abstractNumId w:val="17"/>
  </w:num>
  <w:num w:numId="15">
    <w:abstractNumId w:val="15"/>
  </w:num>
  <w:num w:numId="16">
    <w:abstractNumId w:val="21"/>
  </w:num>
  <w:num w:numId="17">
    <w:abstractNumId w:val="9"/>
  </w:num>
  <w:num w:numId="18">
    <w:abstractNumId w:val="7"/>
  </w:num>
  <w:num w:numId="19">
    <w:abstractNumId w:val="6"/>
  </w:num>
  <w:num w:numId="20">
    <w:abstractNumId w:val="5"/>
  </w:num>
  <w:num w:numId="21">
    <w:abstractNumId w:val="4"/>
  </w:num>
  <w:num w:numId="22">
    <w:abstractNumId w:val="8"/>
  </w:num>
  <w:num w:numId="23">
    <w:abstractNumId w:val="3"/>
  </w:num>
  <w:num w:numId="24">
    <w:abstractNumId w:val="2"/>
  </w:num>
  <w:num w:numId="25">
    <w:abstractNumId w:val="1"/>
  </w:num>
  <w:num w:numId="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A37"/>
    <w:rsid w:val="0000674E"/>
    <w:rsid w:val="00021498"/>
    <w:rsid w:val="00045FC0"/>
    <w:rsid w:val="00052760"/>
    <w:rsid w:val="000C7987"/>
    <w:rsid w:val="000D0A1C"/>
    <w:rsid w:val="000E2355"/>
    <w:rsid w:val="00104FD1"/>
    <w:rsid w:val="001A1D76"/>
    <w:rsid w:val="001A3B0E"/>
    <w:rsid w:val="001B5998"/>
    <w:rsid w:val="001C4A5B"/>
    <w:rsid w:val="001C5B35"/>
    <w:rsid w:val="001E2273"/>
    <w:rsid w:val="001E43E6"/>
    <w:rsid w:val="001F535B"/>
    <w:rsid w:val="00203D47"/>
    <w:rsid w:val="0020716D"/>
    <w:rsid w:val="0021058F"/>
    <w:rsid w:val="002108E2"/>
    <w:rsid w:val="00214B0E"/>
    <w:rsid w:val="002158FF"/>
    <w:rsid w:val="00223A69"/>
    <w:rsid w:val="0026158D"/>
    <w:rsid w:val="00280050"/>
    <w:rsid w:val="0028184D"/>
    <w:rsid w:val="002C2FF2"/>
    <w:rsid w:val="002E67FB"/>
    <w:rsid w:val="002E7D87"/>
    <w:rsid w:val="002F4542"/>
    <w:rsid w:val="00350E21"/>
    <w:rsid w:val="00371B80"/>
    <w:rsid w:val="003A6737"/>
    <w:rsid w:val="003A799D"/>
    <w:rsid w:val="003C2F41"/>
    <w:rsid w:val="003E7EB6"/>
    <w:rsid w:val="00411D77"/>
    <w:rsid w:val="00424193"/>
    <w:rsid w:val="004304FA"/>
    <w:rsid w:val="00433BC3"/>
    <w:rsid w:val="0043565D"/>
    <w:rsid w:val="004479FF"/>
    <w:rsid w:val="004705AF"/>
    <w:rsid w:val="0049731D"/>
    <w:rsid w:val="004B4E49"/>
    <w:rsid w:val="004D5E9B"/>
    <w:rsid w:val="005117EA"/>
    <w:rsid w:val="00526E7D"/>
    <w:rsid w:val="00531DCD"/>
    <w:rsid w:val="005426F2"/>
    <w:rsid w:val="0054294F"/>
    <w:rsid w:val="0054467D"/>
    <w:rsid w:val="00551E95"/>
    <w:rsid w:val="00561E1F"/>
    <w:rsid w:val="00565A0F"/>
    <w:rsid w:val="0059068E"/>
    <w:rsid w:val="0059452E"/>
    <w:rsid w:val="00596A39"/>
    <w:rsid w:val="005A7C94"/>
    <w:rsid w:val="005E1349"/>
    <w:rsid w:val="00602ECF"/>
    <w:rsid w:val="00612511"/>
    <w:rsid w:val="0061645A"/>
    <w:rsid w:val="0064170A"/>
    <w:rsid w:val="0065455E"/>
    <w:rsid w:val="006570D3"/>
    <w:rsid w:val="00663A42"/>
    <w:rsid w:val="00675B5C"/>
    <w:rsid w:val="0068581D"/>
    <w:rsid w:val="006A0758"/>
    <w:rsid w:val="006E2B4A"/>
    <w:rsid w:val="006E2C5F"/>
    <w:rsid w:val="006E6CA3"/>
    <w:rsid w:val="006F117C"/>
    <w:rsid w:val="00707CC0"/>
    <w:rsid w:val="00713D93"/>
    <w:rsid w:val="007166C1"/>
    <w:rsid w:val="00727807"/>
    <w:rsid w:val="00753281"/>
    <w:rsid w:val="00781EAF"/>
    <w:rsid w:val="00796B2B"/>
    <w:rsid w:val="00797A80"/>
    <w:rsid w:val="007A1FDA"/>
    <w:rsid w:val="007F790E"/>
    <w:rsid w:val="00817135"/>
    <w:rsid w:val="008272A3"/>
    <w:rsid w:val="00830703"/>
    <w:rsid w:val="0083289F"/>
    <w:rsid w:val="00841E5E"/>
    <w:rsid w:val="00861ABF"/>
    <w:rsid w:val="00864BA1"/>
    <w:rsid w:val="00874884"/>
    <w:rsid w:val="008B03D2"/>
    <w:rsid w:val="008B7AC0"/>
    <w:rsid w:val="008C1E54"/>
    <w:rsid w:val="008D26CF"/>
    <w:rsid w:val="008F24D8"/>
    <w:rsid w:val="00916BDD"/>
    <w:rsid w:val="00922C27"/>
    <w:rsid w:val="0094085F"/>
    <w:rsid w:val="0096519D"/>
    <w:rsid w:val="00966449"/>
    <w:rsid w:val="009949F3"/>
    <w:rsid w:val="009B2B99"/>
    <w:rsid w:val="009B39C2"/>
    <w:rsid w:val="009C4217"/>
    <w:rsid w:val="009C568A"/>
    <w:rsid w:val="009D46FB"/>
    <w:rsid w:val="009E1618"/>
    <w:rsid w:val="009F21CE"/>
    <w:rsid w:val="009F7F22"/>
    <w:rsid w:val="00A03C53"/>
    <w:rsid w:val="00A14568"/>
    <w:rsid w:val="00A46B80"/>
    <w:rsid w:val="00A57C49"/>
    <w:rsid w:val="00A61DD3"/>
    <w:rsid w:val="00A64B2C"/>
    <w:rsid w:val="00A72380"/>
    <w:rsid w:val="00A8452D"/>
    <w:rsid w:val="00A9171E"/>
    <w:rsid w:val="00A94523"/>
    <w:rsid w:val="00AA2300"/>
    <w:rsid w:val="00AE69C8"/>
    <w:rsid w:val="00AF2B1A"/>
    <w:rsid w:val="00AF486E"/>
    <w:rsid w:val="00B0520F"/>
    <w:rsid w:val="00B63341"/>
    <w:rsid w:val="00B83535"/>
    <w:rsid w:val="00BB6C18"/>
    <w:rsid w:val="00BC1B71"/>
    <w:rsid w:val="00BD4E3E"/>
    <w:rsid w:val="00BD6E98"/>
    <w:rsid w:val="00BD75C5"/>
    <w:rsid w:val="00BF4BB2"/>
    <w:rsid w:val="00C176AB"/>
    <w:rsid w:val="00C60E25"/>
    <w:rsid w:val="00CA1471"/>
    <w:rsid w:val="00CA1FB2"/>
    <w:rsid w:val="00CA54BD"/>
    <w:rsid w:val="00CA7E63"/>
    <w:rsid w:val="00CB65B8"/>
    <w:rsid w:val="00CD5EF9"/>
    <w:rsid w:val="00CF0C24"/>
    <w:rsid w:val="00CF7801"/>
    <w:rsid w:val="00D003B9"/>
    <w:rsid w:val="00D027B9"/>
    <w:rsid w:val="00D04511"/>
    <w:rsid w:val="00D14087"/>
    <w:rsid w:val="00D24E7B"/>
    <w:rsid w:val="00D37A37"/>
    <w:rsid w:val="00D447A4"/>
    <w:rsid w:val="00D925C1"/>
    <w:rsid w:val="00D94DC8"/>
    <w:rsid w:val="00DA60E7"/>
    <w:rsid w:val="00DD6E64"/>
    <w:rsid w:val="00DE7790"/>
    <w:rsid w:val="00DF3B4C"/>
    <w:rsid w:val="00E10A2F"/>
    <w:rsid w:val="00E20777"/>
    <w:rsid w:val="00E33F59"/>
    <w:rsid w:val="00E7458D"/>
    <w:rsid w:val="00EA6D73"/>
    <w:rsid w:val="00ED493D"/>
    <w:rsid w:val="00F07549"/>
    <w:rsid w:val="00F14D6C"/>
    <w:rsid w:val="00F44DA8"/>
    <w:rsid w:val="00F51FB5"/>
    <w:rsid w:val="00F57987"/>
    <w:rsid w:val="00F66374"/>
    <w:rsid w:val="00F916B6"/>
    <w:rsid w:val="00FA1B5E"/>
    <w:rsid w:val="00FA7ED8"/>
    <w:rsid w:val="00FB6E4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72598D"/>
  <w15:chartTrackingRefBased/>
  <w15:docId w15:val="{86BED4AB-3781-4EB9-BC7C-40507ECD7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39C2"/>
  </w:style>
  <w:style w:type="paragraph" w:styleId="Heading1">
    <w:name w:val="heading 1"/>
    <w:basedOn w:val="Normal"/>
    <w:next w:val="Paragraphtext"/>
    <w:link w:val="Heading1Char"/>
    <w:qFormat/>
    <w:rsid w:val="00D37A37"/>
    <w:pPr>
      <w:keepNext/>
      <w:spacing w:before="240" w:after="60" w:line="240" w:lineRule="auto"/>
      <w:outlineLvl w:val="0"/>
    </w:pPr>
    <w:rPr>
      <w:rFonts w:ascii="Arial" w:eastAsia="Times New Roman" w:hAnsi="Arial" w:cs="Arial"/>
      <w:bCs/>
      <w:color w:val="3F4A75"/>
      <w:kern w:val="28"/>
      <w:sz w:val="36"/>
      <w:szCs w:val="36"/>
      <w:lang w:eastAsia="en-AU"/>
    </w:rPr>
  </w:style>
  <w:style w:type="paragraph" w:styleId="Heading2">
    <w:name w:val="heading 2"/>
    <w:next w:val="Paragraphtext"/>
    <w:link w:val="Heading2Char"/>
    <w:qFormat/>
    <w:rsid w:val="00D37A37"/>
    <w:pPr>
      <w:keepNext/>
      <w:spacing w:before="240" w:after="60" w:line="240" w:lineRule="auto"/>
      <w:outlineLvl w:val="1"/>
    </w:pPr>
    <w:rPr>
      <w:rFonts w:ascii="Arial" w:eastAsia="Times New Roman" w:hAnsi="Arial" w:cs="Arial"/>
      <w:bCs/>
      <w:iCs/>
      <w:color w:val="358189"/>
      <w:sz w:val="32"/>
      <w:szCs w:val="28"/>
    </w:rPr>
  </w:style>
  <w:style w:type="paragraph" w:styleId="Heading3">
    <w:name w:val="heading 3"/>
    <w:basedOn w:val="Normal"/>
    <w:next w:val="Normal"/>
    <w:link w:val="Heading3Char"/>
    <w:uiPriority w:val="9"/>
    <w:unhideWhenUsed/>
    <w:qFormat/>
    <w:rsid w:val="009B39C2"/>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qFormat/>
    <w:rsid w:val="00D37A37"/>
    <w:pPr>
      <w:keepNext/>
      <w:spacing w:before="240" w:after="60" w:line="240" w:lineRule="auto"/>
      <w:outlineLvl w:val="3"/>
    </w:pPr>
    <w:rPr>
      <w:rFonts w:ascii="Arial" w:eastAsia="Times New Roman" w:hAnsi="Arial" w:cs="Times New Roman"/>
      <w:b/>
      <w:bCs/>
      <w:i/>
      <w:color w:val="414141"/>
      <w:sz w:val="24"/>
      <w:szCs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next w:val="Normal"/>
    <w:link w:val="SubtitleChar"/>
    <w:qFormat/>
    <w:rsid w:val="00D37A37"/>
    <w:pPr>
      <w:numPr>
        <w:ilvl w:val="1"/>
      </w:numPr>
      <w:spacing w:before="120" w:after="60" w:line="240" w:lineRule="auto"/>
    </w:pPr>
    <w:rPr>
      <w:rFonts w:ascii="Arial" w:eastAsiaTheme="majorEastAsia" w:hAnsi="Arial" w:cstheme="majorBidi"/>
      <w:iCs/>
      <w:color w:val="3F4A75"/>
      <w:spacing w:val="15"/>
      <w:sz w:val="40"/>
      <w:szCs w:val="24"/>
    </w:rPr>
  </w:style>
  <w:style w:type="character" w:customStyle="1" w:styleId="SubtitleChar">
    <w:name w:val="Subtitle Char"/>
    <w:basedOn w:val="DefaultParagraphFont"/>
    <w:link w:val="Subtitle"/>
    <w:rsid w:val="00D37A37"/>
    <w:rPr>
      <w:rFonts w:ascii="Arial" w:eastAsiaTheme="majorEastAsia" w:hAnsi="Arial" w:cstheme="majorBidi"/>
      <w:iCs/>
      <w:color w:val="3F4A75"/>
      <w:spacing w:val="15"/>
      <w:sz w:val="40"/>
      <w:szCs w:val="24"/>
    </w:rPr>
  </w:style>
  <w:style w:type="paragraph" w:styleId="Title">
    <w:name w:val="Title"/>
    <w:basedOn w:val="Normal"/>
    <w:next w:val="Normal"/>
    <w:link w:val="TitleChar"/>
    <w:qFormat/>
    <w:rsid w:val="00D37A37"/>
    <w:pPr>
      <w:spacing w:before="2160" w:after="120" w:line="240" w:lineRule="auto"/>
      <w:contextualSpacing/>
    </w:pPr>
    <w:rPr>
      <w:rFonts w:ascii="Arial" w:eastAsiaTheme="majorEastAsia" w:hAnsi="Arial" w:cstheme="majorBidi"/>
      <w:b/>
      <w:color w:val="3F4A75"/>
      <w:kern w:val="28"/>
      <w:sz w:val="48"/>
      <w:szCs w:val="52"/>
      <w:lang w:eastAsia="en-AU"/>
    </w:rPr>
  </w:style>
  <w:style w:type="character" w:customStyle="1" w:styleId="TitleChar">
    <w:name w:val="Title Char"/>
    <w:basedOn w:val="DefaultParagraphFont"/>
    <w:link w:val="Title"/>
    <w:rsid w:val="00D37A37"/>
    <w:rPr>
      <w:rFonts w:ascii="Arial" w:eastAsiaTheme="majorEastAsia" w:hAnsi="Arial" w:cstheme="majorBidi"/>
      <w:b/>
      <w:color w:val="3F4A75"/>
      <w:kern w:val="28"/>
      <w:sz w:val="48"/>
      <w:szCs w:val="52"/>
      <w:lang w:eastAsia="en-AU"/>
    </w:rPr>
  </w:style>
  <w:style w:type="paragraph" w:styleId="Date">
    <w:name w:val="Date"/>
    <w:basedOn w:val="Normal"/>
    <w:next w:val="Normal"/>
    <w:link w:val="DateChar"/>
    <w:uiPriority w:val="99"/>
    <w:rsid w:val="00D37A37"/>
    <w:pPr>
      <w:pBdr>
        <w:top w:val="single" w:sz="4" w:space="1" w:color="auto"/>
      </w:pBdr>
      <w:spacing w:before="840" w:after="0" w:line="240" w:lineRule="atLeast"/>
      <w:jc w:val="right"/>
    </w:pPr>
    <w:rPr>
      <w:rFonts w:ascii="Segoe UI Semibold" w:eastAsia="Cambria" w:hAnsi="Segoe UI Semibold" w:cs="Times New Roman"/>
      <w:sz w:val="24"/>
      <w:szCs w:val="20"/>
    </w:rPr>
  </w:style>
  <w:style w:type="character" w:customStyle="1" w:styleId="DateChar">
    <w:name w:val="Date Char"/>
    <w:basedOn w:val="DefaultParagraphFont"/>
    <w:link w:val="Date"/>
    <w:uiPriority w:val="99"/>
    <w:rsid w:val="00D37A37"/>
    <w:rPr>
      <w:rFonts w:ascii="Segoe UI Semibold" w:eastAsia="Cambria" w:hAnsi="Segoe UI Semibold" w:cs="Times New Roman"/>
      <w:sz w:val="24"/>
      <w:szCs w:val="20"/>
    </w:rPr>
  </w:style>
  <w:style w:type="character" w:styleId="Hyperlink">
    <w:name w:val="Hyperlink"/>
    <w:basedOn w:val="DefaultParagraphFont"/>
    <w:uiPriority w:val="99"/>
    <w:qFormat/>
    <w:rsid w:val="00D37A37"/>
    <w:rPr>
      <w:color w:val="0563C1" w:themeColor="hyperlink"/>
      <w:u w:val="single"/>
    </w:rPr>
  </w:style>
  <w:style w:type="paragraph" w:customStyle="1" w:styleId="LegalSubheading">
    <w:name w:val="Legal Subheading"/>
    <w:next w:val="Normal"/>
    <w:rsid w:val="00D37A37"/>
    <w:pPr>
      <w:spacing w:after="0" w:line="240" w:lineRule="auto"/>
    </w:pPr>
    <w:rPr>
      <w:rFonts w:ascii="Segoe UI Semibold" w:eastAsia="Cambria" w:hAnsi="Segoe UI Semibold" w:cs="Times New Roman"/>
      <w:szCs w:val="20"/>
    </w:rPr>
  </w:style>
  <w:style w:type="table" w:customStyle="1" w:styleId="TableODC">
    <w:name w:val="Table ODC"/>
    <w:basedOn w:val="TableNormal"/>
    <w:uiPriority w:val="99"/>
    <w:qFormat/>
    <w:rsid w:val="00D37A37"/>
    <w:pPr>
      <w:spacing w:before="100" w:after="100" w:line="240" w:lineRule="atLeast"/>
    </w:pPr>
    <w:rPr>
      <w:rFonts w:ascii="Segoe UI" w:eastAsia="Cambria" w:hAnsi="Segoe UI" w:cs="Times New Roman"/>
      <w:color w:val="000000"/>
      <w:szCs w:val="21"/>
      <w:lang w:eastAsia="en-AU"/>
    </w:rPr>
    <w:tblPr>
      <w:tblStyleRowBandSize w:val="1"/>
    </w:tblPr>
    <w:trPr>
      <w:cantSplit/>
    </w:trPr>
    <w:tcPr>
      <w:shd w:val="clear" w:color="auto" w:fill="auto"/>
    </w:tcPr>
    <w:tblStylePr w:type="firstRow">
      <w:pPr>
        <w:keepNext/>
        <w:wordWrap/>
        <w:spacing w:beforeLines="0" w:before="60" w:beforeAutospacing="0" w:afterLines="0" w:after="60" w:afterAutospacing="0"/>
        <w:jc w:val="left"/>
      </w:pPr>
      <w:rPr>
        <w:rFonts w:ascii="Segoe UI Semibold" w:hAnsi="Segoe UI Semibold"/>
        <w:b w:val="0"/>
        <w:i w:val="0"/>
        <w:color w:val="auto"/>
        <w:sz w:val="22"/>
      </w:rPr>
      <w:tblPr/>
      <w:trPr>
        <w:cantSplit w:val="0"/>
        <w:tblHeader/>
      </w:trPr>
      <w:tcPr>
        <w:tcBorders>
          <w:top w:val="single" w:sz="8" w:space="0" w:color="002C47"/>
          <w:left w:val="nil"/>
          <w:bottom w:val="single" w:sz="8" w:space="0" w:color="002C47"/>
          <w:right w:val="nil"/>
          <w:insideH w:val="nil"/>
          <w:insideV w:val="nil"/>
          <w:tl2br w:val="nil"/>
          <w:tr2bl w:val="nil"/>
        </w:tcBorders>
        <w:shd w:val="clear" w:color="auto" w:fill="CFDCE7"/>
      </w:tcPr>
    </w:tblStylePr>
    <w:tblStylePr w:type="lastRow">
      <w:tblPr/>
      <w:tcPr>
        <w:tcBorders>
          <w:bottom w:val="single" w:sz="8" w:space="0" w:color="002C47"/>
        </w:tcBorders>
        <w:shd w:val="clear" w:color="auto" w:fill="auto"/>
      </w:tcPr>
    </w:tblStylePr>
    <w:tblStylePr w:type="firstCol">
      <w:pPr>
        <w:keepNext w:val="0"/>
        <w:wordWrap/>
      </w:pPr>
    </w:tblStylePr>
    <w:tblStylePr w:type="band1Horz">
      <w:tblPr/>
      <w:tcPr>
        <w:tcBorders>
          <w:top w:val="single" w:sz="8" w:space="0" w:color="auto"/>
          <w:bottom w:val="single" w:sz="8" w:space="0" w:color="auto"/>
        </w:tcBorders>
        <w:shd w:val="clear" w:color="auto" w:fill="auto"/>
      </w:tcPr>
    </w:tblStylePr>
    <w:tblStylePr w:type="band2Horz">
      <w:tblPr/>
      <w:tcPr>
        <w:tcBorders>
          <w:top w:val="single" w:sz="8" w:space="0" w:color="auto"/>
          <w:bottom w:val="single" w:sz="8" w:space="0" w:color="auto"/>
          <w:tr2bl w:val="nil"/>
        </w:tcBorders>
        <w:shd w:val="clear" w:color="auto" w:fill="auto"/>
      </w:tcPr>
    </w:tblStylePr>
  </w:style>
  <w:style w:type="paragraph" w:customStyle="1" w:styleId="Tableheader">
    <w:name w:val="Table header"/>
    <w:basedOn w:val="Normal"/>
    <w:next w:val="Normal"/>
    <w:uiPriority w:val="1"/>
    <w:qFormat/>
    <w:rsid w:val="00D37A37"/>
    <w:pPr>
      <w:keepNext/>
      <w:spacing w:before="100" w:after="100" w:line="240" w:lineRule="atLeast"/>
    </w:pPr>
    <w:rPr>
      <w:rFonts w:ascii="Segoe UI Semibold" w:eastAsia="Cambria" w:hAnsi="Segoe UI Semibold" w:cs="Times New Roman"/>
      <w:szCs w:val="21"/>
    </w:rPr>
  </w:style>
  <w:style w:type="character" w:customStyle="1" w:styleId="pubtitle">
    <w:name w:val="pubtitle"/>
    <w:basedOn w:val="DefaultParagraphFont"/>
    <w:rsid w:val="00D37A37"/>
  </w:style>
  <w:style w:type="character" w:customStyle="1" w:styleId="Heading1Char">
    <w:name w:val="Heading 1 Char"/>
    <w:basedOn w:val="DefaultParagraphFont"/>
    <w:link w:val="Heading1"/>
    <w:rsid w:val="00D37A37"/>
    <w:rPr>
      <w:rFonts w:ascii="Arial" w:eastAsia="Times New Roman" w:hAnsi="Arial" w:cs="Arial"/>
      <w:bCs/>
      <w:color w:val="3F4A75"/>
      <w:kern w:val="28"/>
      <w:sz w:val="36"/>
      <w:szCs w:val="36"/>
      <w:lang w:eastAsia="en-AU"/>
    </w:rPr>
  </w:style>
  <w:style w:type="character" w:customStyle="1" w:styleId="Heading2Char">
    <w:name w:val="Heading 2 Char"/>
    <w:basedOn w:val="DefaultParagraphFont"/>
    <w:link w:val="Heading2"/>
    <w:rsid w:val="00D37A37"/>
    <w:rPr>
      <w:rFonts w:ascii="Arial" w:eastAsia="Times New Roman" w:hAnsi="Arial" w:cs="Arial"/>
      <w:bCs/>
      <w:iCs/>
      <w:color w:val="358189"/>
      <w:sz w:val="32"/>
      <w:szCs w:val="28"/>
    </w:rPr>
  </w:style>
  <w:style w:type="character" w:customStyle="1" w:styleId="Heading4Char">
    <w:name w:val="Heading 4 Char"/>
    <w:basedOn w:val="DefaultParagraphFont"/>
    <w:link w:val="Heading4"/>
    <w:rsid w:val="00D37A37"/>
    <w:rPr>
      <w:rFonts w:ascii="Arial" w:eastAsia="Times New Roman" w:hAnsi="Arial" w:cs="Times New Roman"/>
      <w:b/>
      <w:bCs/>
      <w:i/>
      <w:color w:val="414141"/>
      <w:sz w:val="24"/>
      <w:szCs w:val="28"/>
      <w:lang w:eastAsia="en-AU"/>
    </w:rPr>
  </w:style>
  <w:style w:type="paragraph" w:customStyle="1" w:styleId="Paragraphtext">
    <w:name w:val="Paragraph text"/>
    <w:basedOn w:val="Normal"/>
    <w:qFormat/>
    <w:rsid w:val="00D37A37"/>
    <w:pPr>
      <w:spacing w:before="120" w:after="60" w:line="240" w:lineRule="auto"/>
    </w:pPr>
    <w:rPr>
      <w:rFonts w:ascii="Arial" w:eastAsia="Times New Roman" w:hAnsi="Arial" w:cs="Times New Roman"/>
      <w:color w:val="000000" w:themeColor="text1"/>
      <w:sz w:val="21"/>
      <w:szCs w:val="24"/>
      <w:lang w:eastAsia="en-AU"/>
    </w:rPr>
  </w:style>
  <w:style w:type="paragraph" w:styleId="ListParagraph">
    <w:name w:val="List Paragraph"/>
    <w:aliases w:val="TOC style,lp1,Bullet OSM,Proposal Bullet List,List Paragraph1,Recommendation,List Paragraph11,List Paragraph111,L,F5 List Paragraph,Dot pt,CV text,Table text,Medium Grid 1 - Accent 21,Numbered Paragraph,List Paragraph2,FooterText,numbered"/>
    <w:basedOn w:val="Normal"/>
    <w:link w:val="ListParagraphChar"/>
    <w:uiPriority w:val="34"/>
    <w:qFormat/>
    <w:rsid w:val="00D37A37"/>
    <w:pPr>
      <w:spacing w:after="0" w:line="240" w:lineRule="auto"/>
      <w:ind w:left="720"/>
      <w:contextualSpacing/>
    </w:pPr>
    <w:rPr>
      <w:rFonts w:ascii="Arial" w:eastAsia="Times New Roman" w:hAnsi="Arial" w:cs="Times New Roman"/>
      <w:color w:val="000000" w:themeColor="text1"/>
      <w:szCs w:val="24"/>
      <w:lang w:eastAsia="en-AU"/>
    </w:rPr>
  </w:style>
  <w:style w:type="paragraph" w:styleId="NormalWeb">
    <w:name w:val="Normal (Web)"/>
    <w:basedOn w:val="Normal"/>
    <w:uiPriority w:val="99"/>
    <w:unhideWhenUsed/>
    <w:rsid w:val="00D37A37"/>
    <w:pPr>
      <w:spacing w:before="100" w:beforeAutospacing="1" w:after="100" w:afterAutospacing="1" w:line="240" w:lineRule="auto"/>
    </w:pPr>
    <w:rPr>
      <w:rFonts w:ascii="Times New Roman" w:eastAsia="Times New Roman" w:hAnsi="Times New Roman" w:cs="Times New Roman"/>
      <w:color w:val="000000" w:themeColor="text1"/>
      <w:sz w:val="24"/>
      <w:szCs w:val="24"/>
      <w:lang w:eastAsia="en-AU"/>
    </w:rPr>
  </w:style>
  <w:style w:type="character" w:customStyle="1" w:styleId="ListParagraphChar">
    <w:name w:val="List Paragraph Char"/>
    <w:aliases w:val="TOC style Char,lp1 Char,Bullet OSM Char,Proposal Bullet List Char,List Paragraph1 Char,Recommendation Char,List Paragraph11 Char,List Paragraph111 Char,L Char,F5 List Paragraph Char,Dot pt Char,CV text Char,Table text Char"/>
    <w:basedOn w:val="DefaultParagraphFont"/>
    <w:link w:val="ListParagraph"/>
    <w:uiPriority w:val="34"/>
    <w:locked/>
    <w:rsid w:val="00D37A37"/>
    <w:rPr>
      <w:rFonts w:ascii="Arial" w:eastAsia="Times New Roman" w:hAnsi="Arial" w:cs="Times New Roman"/>
      <w:color w:val="000000" w:themeColor="text1"/>
      <w:szCs w:val="24"/>
      <w:lang w:eastAsia="en-AU"/>
    </w:rPr>
  </w:style>
  <w:style w:type="paragraph" w:customStyle="1" w:styleId="TableHeading">
    <w:name w:val="Table Heading"/>
    <w:basedOn w:val="Normal"/>
    <w:qFormat/>
    <w:rsid w:val="00D37A37"/>
    <w:pPr>
      <w:spacing w:after="120" w:line="240" w:lineRule="atLeast"/>
    </w:pPr>
    <w:rPr>
      <w:b/>
      <w:color w:val="FFFFFF" w:themeColor="background1"/>
      <w:sz w:val="20"/>
    </w:rPr>
  </w:style>
  <w:style w:type="paragraph" w:styleId="TOCHeading">
    <w:name w:val="TOC Heading"/>
    <w:basedOn w:val="Heading1"/>
    <w:next w:val="Normal"/>
    <w:uiPriority w:val="39"/>
    <w:unhideWhenUsed/>
    <w:qFormat/>
    <w:rsid w:val="00D37A37"/>
    <w:pPr>
      <w:keepLines/>
      <w:spacing w:after="0" w:line="259" w:lineRule="auto"/>
      <w:outlineLvl w:val="9"/>
    </w:pPr>
    <w:rPr>
      <w:rFonts w:asciiTheme="majorHAnsi" w:eastAsiaTheme="majorEastAsia" w:hAnsiTheme="majorHAnsi" w:cstheme="majorBidi"/>
      <w:bCs w:val="0"/>
      <w:color w:val="2F5496" w:themeColor="accent1" w:themeShade="BF"/>
      <w:kern w:val="0"/>
      <w:sz w:val="32"/>
      <w:szCs w:val="32"/>
      <w:lang w:val="en-US" w:eastAsia="en-US"/>
    </w:rPr>
  </w:style>
  <w:style w:type="paragraph" w:styleId="TOC1">
    <w:name w:val="toc 1"/>
    <w:basedOn w:val="Normal"/>
    <w:next w:val="Normal"/>
    <w:autoRedefine/>
    <w:uiPriority w:val="39"/>
    <w:unhideWhenUsed/>
    <w:rsid w:val="00D37A37"/>
    <w:pPr>
      <w:spacing w:after="100"/>
    </w:pPr>
  </w:style>
  <w:style w:type="paragraph" w:styleId="TOC2">
    <w:name w:val="toc 2"/>
    <w:basedOn w:val="Normal"/>
    <w:next w:val="Normal"/>
    <w:autoRedefine/>
    <w:uiPriority w:val="39"/>
    <w:unhideWhenUsed/>
    <w:rsid w:val="00D37A37"/>
    <w:pPr>
      <w:spacing w:after="100"/>
      <w:ind w:left="220"/>
    </w:pPr>
  </w:style>
  <w:style w:type="paragraph" w:styleId="Header">
    <w:name w:val="header"/>
    <w:basedOn w:val="Normal"/>
    <w:link w:val="HeaderChar"/>
    <w:uiPriority w:val="99"/>
    <w:unhideWhenUsed/>
    <w:rsid w:val="00D37A37"/>
    <w:pPr>
      <w:tabs>
        <w:tab w:val="center" w:pos="4513"/>
        <w:tab w:val="right" w:pos="9026"/>
      </w:tabs>
      <w:spacing w:after="0" w:line="240" w:lineRule="auto"/>
    </w:pPr>
  </w:style>
  <w:style w:type="character" w:customStyle="1" w:styleId="HeaderChar">
    <w:name w:val="Header Char"/>
    <w:basedOn w:val="DefaultParagraphFont"/>
    <w:link w:val="Header"/>
    <w:uiPriority w:val="99"/>
    <w:rsid w:val="00D37A37"/>
  </w:style>
  <w:style w:type="paragraph" w:styleId="Footer">
    <w:name w:val="footer"/>
    <w:basedOn w:val="Normal"/>
    <w:link w:val="FooterChar"/>
    <w:uiPriority w:val="99"/>
    <w:unhideWhenUsed/>
    <w:rsid w:val="00D37A37"/>
    <w:pPr>
      <w:tabs>
        <w:tab w:val="center" w:pos="4513"/>
        <w:tab w:val="right" w:pos="9026"/>
      </w:tabs>
      <w:spacing w:after="0" w:line="240" w:lineRule="auto"/>
    </w:pPr>
  </w:style>
  <w:style w:type="character" w:customStyle="1" w:styleId="FooterChar">
    <w:name w:val="Footer Char"/>
    <w:basedOn w:val="DefaultParagraphFont"/>
    <w:link w:val="Footer"/>
    <w:uiPriority w:val="99"/>
    <w:rsid w:val="00D37A37"/>
  </w:style>
  <w:style w:type="character" w:styleId="UnresolvedMention">
    <w:name w:val="Unresolved Mention"/>
    <w:basedOn w:val="DefaultParagraphFont"/>
    <w:uiPriority w:val="99"/>
    <w:semiHidden/>
    <w:unhideWhenUsed/>
    <w:rsid w:val="00D37A37"/>
    <w:rPr>
      <w:color w:val="605E5C"/>
      <w:shd w:val="clear" w:color="auto" w:fill="E1DFDD"/>
    </w:rPr>
  </w:style>
  <w:style w:type="character" w:styleId="CommentReference">
    <w:name w:val="annotation reference"/>
    <w:basedOn w:val="DefaultParagraphFont"/>
    <w:uiPriority w:val="99"/>
    <w:semiHidden/>
    <w:unhideWhenUsed/>
    <w:rsid w:val="0068581D"/>
    <w:rPr>
      <w:sz w:val="16"/>
      <w:szCs w:val="16"/>
    </w:rPr>
  </w:style>
  <w:style w:type="paragraph" w:styleId="CommentText">
    <w:name w:val="annotation text"/>
    <w:basedOn w:val="Normal"/>
    <w:link w:val="CommentTextChar"/>
    <w:uiPriority w:val="99"/>
    <w:semiHidden/>
    <w:unhideWhenUsed/>
    <w:rsid w:val="0068581D"/>
    <w:pPr>
      <w:spacing w:line="240" w:lineRule="auto"/>
    </w:pPr>
    <w:rPr>
      <w:sz w:val="20"/>
      <w:szCs w:val="20"/>
    </w:rPr>
  </w:style>
  <w:style w:type="character" w:customStyle="1" w:styleId="CommentTextChar">
    <w:name w:val="Comment Text Char"/>
    <w:basedOn w:val="DefaultParagraphFont"/>
    <w:link w:val="CommentText"/>
    <w:uiPriority w:val="99"/>
    <w:semiHidden/>
    <w:rsid w:val="0068581D"/>
    <w:rPr>
      <w:sz w:val="20"/>
      <w:szCs w:val="20"/>
    </w:rPr>
  </w:style>
  <w:style w:type="paragraph" w:styleId="CommentSubject">
    <w:name w:val="annotation subject"/>
    <w:basedOn w:val="CommentText"/>
    <w:next w:val="CommentText"/>
    <w:link w:val="CommentSubjectChar"/>
    <w:uiPriority w:val="99"/>
    <w:semiHidden/>
    <w:unhideWhenUsed/>
    <w:rsid w:val="0068581D"/>
    <w:rPr>
      <w:b/>
      <w:bCs/>
    </w:rPr>
  </w:style>
  <w:style w:type="character" w:customStyle="1" w:styleId="CommentSubjectChar">
    <w:name w:val="Comment Subject Char"/>
    <w:basedOn w:val="CommentTextChar"/>
    <w:link w:val="CommentSubject"/>
    <w:uiPriority w:val="99"/>
    <w:semiHidden/>
    <w:rsid w:val="0068581D"/>
    <w:rPr>
      <w:b/>
      <w:bCs/>
      <w:sz w:val="20"/>
      <w:szCs w:val="20"/>
    </w:rPr>
  </w:style>
  <w:style w:type="paragraph" w:styleId="FootnoteText">
    <w:name w:val="footnote text"/>
    <w:basedOn w:val="Normal"/>
    <w:link w:val="FootnoteTextChar"/>
    <w:uiPriority w:val="99"/>
    <w:semiHidden/>
    <w:unhideWhenUsed/>
    <w:rsid w:val="009F21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F21CE"/>
    <w:rPr>
      <w:sz w:val="20"/>
      <w:szCs w:val="20"/>
    </w:rPr>
  </w:style>
  <w:style w:type="character" w:styleId="FootnoteReference">
    <w:name w:val="footnote reference"/>
    <w:basedOn w:val="DefaultParagraphFont"/>
    <w:uiPriority w:val="99"/>
    <w:semiHidden/>
    <w:unhideWhenUsed/>
    <w:rsid w:val="009F21CE"/>
    <w:rPr>
      <w:vertAlign w:val="superscript"/>
    </w:rPr>
  </w:style>
  <w:style w:type="character" w:styleId="FollowedHyperlink">
    <w:name w:val="FollowedHyperlink"/>
    <w:basedOn w:val="DefaultParagraphFont"/>
    <w:uiPriority w:val="99"/>
    <w:semiHidden/>
    <w:unhideWhenUsed/>
    <w:rsid w:val="00D24E7B"/>
    <w:rPr>
      <w:color w:val="954F72" w:themeColor="followedHyperlink"/>
      <w:u w:val="single"/>
    </w:rPr>
  </w:style>
  <w:style w:type="character" w:styleId="HTMLCite">
    <w:name w:val="HTML Cite"/>
    <w:basedOn w:val="DefaultParagraphFont"/>
    <w:uiPriority w:val="99"/>
    <w:semiHidden/>
    <w:unhideWhenUsed/>
    <w:rsid w:val="0043565D"/>
    <w:rPr>
      <w:i/>
      <w:iCs/>
    </w:rPr>
  </w:style>
  <w:style w:type="character" w:customStyle="1" w:styleId="sr-only">
    <w:name w:val="sr-only"/>
    <w:basedOn w:val="DefaultParagraphFont"/>
    <w:rsid w:val="0043565D"/>
  </w:style>
  <w:style w:type="paragraph" w:styleId="Revision">
    <w:name w:val="Revision"/>
    <w:hidden/>
    <w:uiPriority w:val="99"/>
    <w:semiHidden/>
    <w:rsid w:val="001E2273"/>
    <w:pPr>
      <w:spacing w:after="0" w:line="240" w:lineRule="auto"/>
    </w:pPr>
  </w:style>
  <w:style w:type="paragraph" w:styleId="ListBullet">
    <w:name w:val="List Bullet"/>
    <w:basedOn w:val="Normal"/>
    <w:uiPriority w:val="99"/>
    <w:unhideWhenUsed/>
    <w:rsid w:val="009B39C2"/>
    <w:pPr>
      <w:numPr>
        <w:numId w:val="17"/>
      </w:numPr>
      <w:contextualSpacing/>
    </w:pPr>
  </w:style>
  <w:style w:type="character" w:customStyle="1" w:styleId="Heading3Char">
    <w:name w:val="Heading 3 Char"/>
    <w:basedOn w:val="DefaultParagraphFont"/>
    <w:link w:val="Heading3"/>
    <w:uiPriority w:val="9"/>
    <w:rsid w:val="009B39C2"/>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248760">
      <w:bodyDiv w:val="1"/>
      <w:marLeft w:val="0"/>
      <w:marRight w:val="0"/>
      <w:marTop w:val="0"/>
      <w:marBottom w:val="0"/>
      <w:divBdr>
        <w:top w:val="none" w:sz="0" w:space="0" w:color="auto"/>
        <w:left w:val="none" w:sz="0" w:space="0" w:color="auto"/>
        <w:bottom w:val="none" w:sz="0" w:space="0" w:color="auto"/>
        <w:right w:val="none" w:sz="0" w:space="0" w:color="auto"/>
      </w:divBdr>
    </w:div>
    <w:div w:id="624851899">
      <w:bodyDiv w:val="1"/>
      <w:marLeft w:val="0"/>
      <w:marRight w:val="0"/>
      <w:marTop w:val="0"/>
      <w:marBottom w:val="0"/>
      <w:divBdr>
        <w:top w:val="none" w:sz="0" w:space="0" w:color="auto"/>
        <w:left w:val="none" w:sz="0" w:space="0" w:color="auto"/>
        <w:bottom w:val="none" w:sz="0" w:space="0" w:color="auto"/>
        <w:right w:val="none" w:sz="0" w:space="0" w:color="auto"/>
      </w:divBdr>
    </w:div>
    <w:div w:id="1053886251">
      <w:bodyDiv w:val="1"/>
      <w:marLeft w:val="0"/>
      <w:marRight w:val="0"/>
      <w:marTop w:val="0"/>
      <w:marBottom w:val="0"/>
      <w:divBdr>
        <w:top w:val="none" w:sz="0" w:space="0" w:color="auto"/>
        <w:left w:val="none" w:sz="0" w:space="0" w:color="auto"/>
        <w:bottom w:val="none" w:sz="0" w:space="0" w:color="auto"/>
        <w:right w:val="none" w:sz="0" w:space="0" w:color="auto"/>
      </w:divBdr>
    </w:div>
    <w:div w:id="1434009660">
      <w:bodyDiv w:val="1"/>
      <w:marLeft w:val="0"/>
      <w:marRight w:val="0"/>
      <w:marTop w:val="0"/>
      <w:marBottom w:val="0"/>
      <w:divBdr>
        <w:top w:val="none" w:sz="0" w:space="0" w:color="auto"/>
        <w:left w:val="none" w:sz="0" w:space="0" w:color="auto"/>
        <w:bottom w:val="none" w:sz="0" w:space="0" w:color="auto"/>
        <w:right w:val="none" w:sz="0" w:space="0" w:color="auto"/>
      </w:divBdr>
    </w:div>
    <w:div w:id="2114396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legislation.gov.au/Series/C1967A00053" TargetMode="External"/><Relationship Id="rId18" Type="http://schemas.openxmlformats.org/officeDocument/2006/relationships/hyperlink" Target="https://www.legislation.gov.au/Series/C1967A00053" TargetMode="External"/><Relationship Id="rId26" Type="http://schemas.openxmlformats.org/officeDocument/2006/relationships/hyperlink" Target="https://www.legislation.gov.au/Series/C2014A00093" TargetMode="External"/><Relationship Id="rId39" Type="http://schemas.openxmlformats.org/officeDocument/2006/relationships/hyperlink" Target="https://www.legislation.gov.au/Series/C2004A01401" TargetMode="External"/><Relationship Id="rId3" Type="http://schemas.openxmlformats.org/officeDocument/2006/relationships/styles" Target="styles.xml"/><Relationship Id="rId21" Type="http://schemas.openxmlformats.org/officeDocument/2006/relationships/hyperlink" Target="https://www.legislation.gov.au/Series/C1901A00006" TargetMode="External"/><Relationship Id="rId34" Type="http://schemas.openxmlformats.org/officeDocument/2006/relationships/diagramData" Target="diagrams/data1.xml"/><Relationship Id="rId42"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unodc.org/pdf/convention_1988_en.pdf" TargetMode="External"/><Relationship Id="rId17" Type="http://schemas.openxmlformats.org/officeDocument/2006/relationships/hyperlink" Target="http://www.odc.gov.au" TargetMode="External"/><Relationship Id="rId25" Type="http://schemas.openxmlformats.org/officeDocument/2006/relationships/hyperlink" Target="https://www.legislation.gov.au/Series/C2016A00075" TargetMode="External"/><Relationship Id="rId33" Type="http://schemas.openxmlformats.org/officeDocument/2006/relationships/hyperlink" Target="https://www.ag.gov.au/integrity/publications/australian-government-investigations-standards-2011" TargetMode="External"/><Relationship Id="rId38" Type="http://schemas.microsoft.com/office/2007/relationships/diagramDrawing" Target="diagrams/drawing1.xml"/><Relationship Id="rId2" Type="http://schemas.openxmlformats.org/officeDocument/2006/relationships/numbering" Target="numbering.xml"/><Relationship Id="rId16" Type="http://schemas.openxmlformats.org/officeDocument/2006/relationships/hyperlink" Target="https://www.odc.gov.au/risk-management-approach-cultivation-production-and-manufacture-medicinal-cannabis" TargetMode="External"/><Relationship Id="rId20" Type="http://schemas.openxmlformats.org/officeDocument/2006/relationships/hyperlink" Target="https://www.unodc.org/unodc/en/commissions/CND/conventions.html" TargetMode="External"/><Relationship Id="rId29" Type="http://schemas.openxmlformats.org/officeDocument/2006/relationships/customXml" Target="ink/ink1.xm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nodc.org/unodc/en/treaties/psychotropics.html?ref=menuside" TargetMode="External"/><Relationship Id="rId24" Type="http://schemas.openxmlformats.org/officeDocument/2006/relationships/hyperlink" Target="https://www.legislation.gov.au/Series/F2016L01613" TargetMode="External"/><Relationship Id="rId32" Type="http://schemas.openxmlformats.org/officeDocument/2006/relationships/hyperlink" Target="mailto:odc.compliance@health.gov.au" TargetMode="External"/><Relationship Id="rId37" Type="http://schemas.openxmlformats.org/officeDocument/2006/relationships/diagramColors" Target="diagrams/colors1.xml"/><Relationship Id="rId40" Type="http://schemas.openxmlformats.org/officeDocument/2006/relationships/hyperlink" Target="https://www.legislation.gov.au/Series/F2017L01698"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legislation.gov.au/Series/F1996B03403" TargetMode="External"/><Relationship Id="rId23" Type="http://schemas.openxmlformats.org/officeDocument/2006/relationships/hyperlink" Target="https://www.legislation.gov.au/Details/F2022C00312" TargetMode="External"/><Relationship Id="rId28" Type="http://schemas.openxmlformats.org/officeDocument/2006/relationships/hyperlink" Target="https://www.legislation.gov.au/Series/C1914A00012" TargetMode="External"/><Relationship Id="rId36" Type="http://schemas.openxmlformats.org/officeDocument/2006/relationships/diagramQuickStyle" Target="diagrams/quickStyle1.xml"/><Relationship Id="rId10" Type="http://schemas.openxmlformats.org/officeDocument/2006/relationships/hyperlink" Target="https://www.incb.org/incb/en/narcotic-drugs/1961_Convention.html" TargetMode="External"/><Relationship Id="rId19" Type="http://schemas.openxmlformats.org/officeDocument/2006/relationships/hyperlink" Target="https://www.unodc.org/unodc/en/commissions/CND/conventions.html" TargetMode="External"/><Relationship Id="rId31" Type="http://schemas.openxmlformats.org/officeDocument/2006/relationships/image" Target="media/image3.png"/><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ODC.compliance@health.gov.au" TargetMode="External"/><Relationship Id="rId14" Type="http://schemas.openxmlformats.org/officeDocument/2006/relationships/hyperlink" Target="https://www.legislation.gov.au/Series/F2016L01613" TargetMode="External"/><Relationship Id="rId22" Type="http://schemas.openxmlformats.org/officeDocument/2006/relationships/hyperlink" Target="https://www.legislation.gov.au/Series/F1996B03651" TargetMode="External"/><Relationship Id="rId27" Type="http://schemas.openxmlformats.org/officeDocument/2006/relationships/hyperlink" Target="https://www.legislation.gov.au/Series/C2004A04868" TargetMode="External"/><Relationship Id="rId30" Type="http://schemas.openxmlformats.org/officeDocument/2006/relationships/image" Target="media/image2.png"/><Relationship Id="rId35" Type="http://schemas.openxmlformats.org/officeDocument/2006/relationships/diagramLayout" Target="diagrams/layout1.xml"/><Relationship Id="rId43"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5265576-7F78-4654-91CD-B89E5CA80940}" type="doc">
      <dgm:prSet loTypeId="urn:microsoft.com/office/officeart/2005/8/layout/pyramid1" loCatId="pyramid" qsTypeId="urn:microsoft.com/office/officeart/2005/8/quickstyle/3d3" qsCatId="3D" csTypeId="urn:microsoft.com/office/officeart/2005/8/colors/accent1_2" csCatId="accent1" phldr="1"/>
      <dgm:spPr/>
    </dgm:pt>
    <dgm:pt modelId="{892FC546-D7ED-4F22-94A4-E5A00E330AF7}">
      <dgm:prSet phldrT="[Text]"/>
      <dgm:spPr>
        <a:solidFill>
          <a:srgbClr val="FF0000"/>
        </a:solidFill>
      </dgm:spPr>
      <dgm:t>
        <a:bodyPr anchor="b" anchorCtr="0"/>
        <a:lstStyle/>
        <a:p>
          <a:pPr algn="ctr"/>
          <a:r>
            <a:rPr lang="en-AU" b="1"/>
            <a:t>Prosecution</a:t>
          </a:r>
        </a:p>
        <a:p>
          <a:pPr algn="ctr"/>
          <a:r>
            <a:rPr lang="en-AU" b="1"/>
            <a:t>/Civil penality</a:t>
          </a:r>
        </a:p>
      </dgm:t>
    </dgm:pt>
    <dgm:pt modelId="{44C1DEEF-237D-41AF-956D-4CA96156F429}" type="parTrans" cxnId="{775DF65E-4C92-46CB-B5F2-C438A6B7E702}">
      <dgm:prSet/>
      <dgm:spPr/>
      <dgm:t>
        <a:bodyPr/>
        <a:lstStyle/>
        <a:p>
          <a:pPr algn="ctr"/>
          <a:endParaRPr lang="en-AU"/>
        </a:p>
      </dgm:t>
    </dgm:pt>
    <dgm:pt modelId="{5511E1A9-CDEB-4376-AA5F-E78568912DED}" type="sibTrans" cxnId="{775DF65E-4C92-46CB-B5F2-C438A6B7E702}">
      <dgm:prSet/>
      <dgm:spPr/>
      <dgm:t>
        <a:bodyPr/>
        <a:lstStyle/>
        <a:p>
          <a:pPr algn="ctr"/>
          <a:endParaRPr lang="en-AU"/>
        </a:p>
      </dgm:t>
    </dgm:pt>
    <dgm:pt modelId="{97B65B32-E146-49F2-AB1D-F886CB72A1D2}">
      <dgm:prSet phldrT="[Text]"/>
      <dgm:spPr>
        <a:solidFill>
          <a:srgbClr val="FA8006"/>
        </a:solidFill>
      </dgm:spPr>
      <dgm:t>
        <a:bodyPr/>
        <a:lstStyle/>
        <a:p>
          <a:pPr algn="ctr"/>
          <a:r>
            <a:rPr lang="en-AU" b="1"/>
            <a:t>Licence and/or Permit Revocation</a:t>
          </a:r>
        </a:p>
      </dgm:t>
    </dgm:pt>
    <dgm:pt modelId="{76273BB3-6BC9-45DD-B7C3-CD90AC6C779C}" type="parTrans" cxnId="{74CD098D-E6ED-4AE9-AC93-6243572C69BC}">
      <dgm:prSet/>
      <dgm:spPr/>
      <dgm:t>
        <a:bodyPr/>
        <a:lstStyle/>
        <a:p>
          <a:pPr algn="ctr"/>
          <a:endParaRPr lang="en-AU"/>
        </a:p>
      </dgm:t>
    </dgm:pt>
    <dgm:pt modelId="{588A28EC-36CC-4E8F-911F-75F41F154DAB}" type="sibTrans" cxnId="{74CD098D-E6ED-4AE9-AC93-6243572C69BC}">
      <dgm:prSet/>
      <dgm:spPr/>
      <dgm:t>
        <a:bodyPr/>
        <a:lstStyle/>
        <a:p>
          <a:pPr algn="ctr"/>
          <a:endParaRPr lang="en-AU"/>
        </a:p>
      </dgm:t>
    </dgm:pt>
    <dgm:pt modelId="{BBD96CB2-DBEE-4D53-930D-C9D751A44032}">
      <dgm:prSet/>
      <dgm:spPr>
        <a:solidFill>
          <a:srgbClr val="FFC000"/>
        </a:solidFill>
      </dgm:spPr>
      <dgm:t>
        <a:bodyPr/>
        <a:lstStyle/>
        <a:p>
          <a:pPr algn="ctr"/>
          <a:r>
            <a:rPr lang="en-AU" b="1"/>
            <a:t>Licence and/or Permit suspension</a:t>
          </a:r>
        </a:p>
      </dgm:t>
    </dgm:pt>
    <dgm:pt modelId="{29D15915-E76E-40AD-8B69-608796205309}" type="parTrans" cxnId="{DBA6F2F8-D3A1-4BB8-9088-2E53A1DCADFA}">
      <dgm:prSet/>
      <dgm:spPr/>
      <dgm:t>
        <a:bodyPr/>
        <a:lstStyle/>
        <a:p>
          <a:pPr algn="ctr"/>
          <a:endParaRPr lang="en-AU"/>
        </a:p>
      </dgm:t>
    </dgm:pt>
    <dgm:pt modelId="{0A4EB57A-9384-478C-BF8B-A0C85BA8D7DA}" type="sibTrans" cxnId="{DBA6F2F8-D3A1-4BB8-9088-2E53A1DCADFA}">
      <dgm:prSet/>
      <dgm:spPr/>
      <dgm:t>
        <a:bodyPr/>
        <a:lstStyle/>
        <a:p>
          <a:pPr algn="ctr"/>
          <a:endParaRPr lang="en-AU"/>
        </a:p>
      </dgm:t>
    </dgm:pt>
    <dgm:pt modelId="{DCC7B971-1EBB-4B09-A8BF-FA7803E46C48}">
      <dgm:prSet/>
      <dgm:spPr>
        <a:solidFill>
          <a:srgbClr val="FFFF00"/>
        </a:solidFill>
      </dgm:spPr>
      <dgm:t>
        <a:bodyPr/>
        <a:lstStyle/>
        <a:p>
          <a:pPr algn="ctr"/>
          <a:r>
            <a:rPr lang="en-AU" b="1"/>
            <a:t>Coercive and enforcement regulatory powers</a:t>
          </a:r>
        </a:p>
      </dgm:t>
    </dgm:pt>
    <dgm:pt modelId="{CDF2479F-E16F-4317-A95B-A2121EC5873F}" type="parTrans" cxnId="{B53D658D-CA1A-461B-9FE0-0E6AE8E08BBD}">
      <dgm:prSet/>
      <dgm:spPr/>
      <dgm:t>
        <a:bodyPr/>
        <a:lstStyle/>
        <a:p>
          <a:pPr algn="ctr"/>
          <a:endParaRPr lang="en-AU"/>
        </a:p>
      </dgm:t>
    </dgm:pt>
    <dgm:pt modelId="{67B01B63-415D-477D-8728-9BE6B2325FFB}" type="sibTrans" cxnId="{B53D658D-CA1A-461B-9FE0-0E6AE8E08BBD}">
      <dgm:prSet/>
      <dgm:spPr/>
      <dgm:t>
        <a:bodyPr/>
        <a:lstStyle/>
        <a:p>
          <a:pPr algn="ctr"/>
          <a:endParaRPr lang="en-AU"/>
        </a:p>
      </dgm:t>
    </dgm:pt>
    <dgm:pt modelId="{9A2C33E5-570B-4E7E-AA27-49AE71E5F5A2}">
      <dgm:prSet/>
      <dgm:spPr>
        <a:solidFill>
          <a:srgbClr val="B1DE42"/>
        </a:solidFill>
      </dgm:spPr>
      <dgm:t>
        <a:bodyPr/>
        <a:lstStyle/>
        <a:p>
          <a:pPr algn="ctr"/>
          <a:r>
            <a:rPr lang="en-AU" b="1"/>
            <a:t>Secretary direction</a:t>
          </a:r>
        </a:p>
      </dgm:t>
    </dgm:pt>
    <dgm:pt modelId="{60445F3C-B4DB-41E9-ABD9-357136691587}" type="parTrans" cxnId="{0EDC9F3B-1FF3-48FB-9F6F-8D04DBA22EDD}">
      <dgm:prSet/>
      <dgm:spPr/>
      <dgm:t>
        <a:bodyPr/>
        <a:lstStyle/>
        <a:p>
          <a:pPr algn="ctr"/>
          <a:endParaRPr lang="en-AU"/>
        </a:p>
      </dgm:t>
    </dgm:pt>
    <dgm:pt modelId="{5A0D5185-FDCF-418E-AEC8-A152BD8B1959}" type="sibTrans" cxnId="{0EDC9F3B-1FF3-48FB-9F6F-8D04DBA22EDD}">
      <dgm:prSet/>
      <dgm:spPr/>
      <dgm:t>
        <a:bodyPr/>
        <a:lstStyle/>
        <a:p>
          <a:pPr algn="ctr"/>
          <a:endParaRPr lang="en-AU"/>
        </a:p>
      </dgm:t>
    </dgm:pt>
    <dgm:pt modelId="{BC873200-CF65-4132-847A-6556783713E1}">
      <dgm:prSet/>
      <dgm:spPr>
        <a:solidFill>
          <a:srgbClr val="49D775"/>
        </a:solidFill>
      </dgm:spPr>
      <dgm:t>
        <a:bodyPr/>
        <a:lstStyle/>
        <a:p>
          <a:pPr algn="ctr"/>
          <a:r>
            <a:rPr lang="en-AU" b="1"/>
            <a:t>Administrative activity</a:t>
          </a:r>
        </a:p>
      </dgm:t>
    </dgm:pt>
    <dgm:pt modelId="{B99ABD77-2C19-4F0C-B676-B1E914A28BC0}" type="parTrans" cxnId="{B0519D1B-30E8-4AA2-BB9B-EE30FB43F935}">
      <dgm:prSet/>
      <dgm:spPr/>
      <dgm:t>
        <a:bodyPr/>
        <a:lstStyle/>
        <a:p>
          <a:pPr algn="ctr"/>
          <a:endParaRPr lang="en-AU"/>
        </a:p>
      </dgm:t>
    </dgm:pt>
    <dgm:pt modelId="{BCD9DF33-4962-47D8-A6FB-4A4DDDA57C63}" type="sibTrans" cxnId="{B0519D1B-30E8-4AA2-BB9B-EE30FB43F935}">
      <dgm:prSet/>
      <dgm:spPr/>
      <dgm:t>
        <a:bodyPr/>
        <a:lstStyle/>
        <a:p>
          <a:pPr algn="ctr"/>
          <a:endParaRPr lang="en-AU"/>
        </a:p>
      </dgm:t>
    </dgm:pt>
    <dgm:pt modelId="{B7BEC8BF-6510-42E4-9C49-BCA0AE8256C8}">
      <dgm:prSet/>
      <dgm:spPr>
        <a:solidFill>
          <a:srgbClr val="2DF3D2"/>
        </a:solidFill>
      </dgm:spPr>
      <dgm:t>
        <a:bodyPr/>
        <a:lstStyle/>
        <a:p>
          <a:pPr algn="ctr"/>
          <a:r>
            <a:rPr lang="en-AU" b="1"/>
            <a:t>Education</a:t>
          </a:r>
        </a:p>
      </dgm:t>
    </dgm:pt>
    <dgm:pt modelId="{9E0CE532-B884-4DA0-B604-002932AB48B0}" type="parTrans" cxnId="{B9CAC918-B1A5-41AE-9D4C-E01ADC1EE372}">
      <dgm:prSet/>
      <dgm:spPr/>
      <dgm:t>
        <a:bodyPr/>
        <a:lstStyle/>
        <a:p>
          <a:pPr algn="ctr"/>
          <a:endParaRPr lang="en-AU"/>
        </a:p>
      </dgm:t>
    </dgm:pt>
    <dgm:pt modelId="{EBA8A92E-1E25-4147-82C9-F96B524614B1}" type="sibTrans" cxnId="{B9CAC918-B1A5-41AE-9D4C-E01ADC1EE372}">
      <dgm:prSet/>
      <dgm:spPr/>
      <dgm:t>
        <a:bodyPr/>
        <a:lstStyle/>
        <a:p>
          <a:pPr algn="ctr"/>
          <a:endParaRPr lang="en-AU"/>
        </a:p>
      </dgm:t>
    </dgm:pt>
    <dgm:pt modelId="{CA7261FC-8AB5-4564-8E1B-CD2F6BEC80E2}" type="pres">
      <dgm:prSet presAssocID="{35265576-7F78-4654-91CD-B89E5CA80940}" presName="Name0" presStyleCnt="0">
        <dgm:presLayoutVars>
          <dgm:dir/>
          <dgm:animLvl val="lvl"/>
          <dgm:resizeHandles val="exact"/>
        </dgm:presLayoutVars>
      </dgm:prSet>
      <dgm:spPr/>
    </dgm:pt>
    <dgm:pt modelId="{827376AD-C09D-402A-BBE8-CEC3EBE2CB74}" type="pres">
      <dgm:prSet presAssocID="{892FC546-D7ED-4F22-94A4-E5A00E330AF7}" presName="Name8" presStyleCnt="0"/>
      <dgm:spPr/>
    </dgm:pt>
    <dgm:pt modelId="{D6324781-AA7E-46EC-BE54-F2B85DBB490E}" type="pres">
      <dgm:prSet presAssocID="{892FC546-D7ED-4F22-94A4-E5A00E330AF7}" presName="level" presStyleLbl="node1" presStyleIdx="0" presStyleCnt="7" custScaleY="173077">
        <dgm:presLayoutVars>
          <dgm:chMax val="1"/>
          <dgm:bulletEnabled val="1"/>
        </dgm:presLayoutVars>
      </dgm:prSet>
      <dgm:spPr/>
    </dgm:pt>
    <dgm:pt modelId="{EC33303F-F8B0-4E99-B30D-6580BEC219EE}" type="pres">
      <dgm:prSet presAssocID="{892FC546-D7ED-4F22-94A4-E5A00E330AF7}" presName="levelTx" presStyleLbl="revTx" presStyleIdx="0" presStyleCnt="0">
        <dgm:presLayoutVars>
          <dgm:chMax val="1"/>
          <dgm:bulletEnabled val="1"/>
        </dgm:presLayoutVars>
      </dgm:prSet>
      <dgm:spPr/>
    </dgm:pt>
    <dgm:pt modelId="{B334259F-BA32-4E35-8A7B-51E81793A38D}" type="pres">
      <dgm:prSet presAssocID="{97B65B32-E146-49F2-AB1D-F886CB72A1D2}" presName="Name8" presStyleCnt="0"/>
      <dgm:spPr/>
    </dgm:pt>
    <dgm:pt modelId="{987760A3-3C6E-4AA6-95C5-7DB810D0DFD5}" type="pres">
      <dgm:prSet presAssocID="{97B65B32-E146-49F2-AB1D-F886CB72A1D2}" presName="level" presStyleLbl="node1" presStyleIdx="1" presStyleCnt="7">
        <dgm:presLayoutVars>
          <dgm:chMax val="1"/>
          <dgm:bulletEnabled val="1"/>
        </dgm:presLayoutVars>
      </dgm:prSet>
      <dgm:spPr/>
    </dgm:pt>
    <dgm:pt modelId="{38EFE0DD-C8AB-4FC0-92C6-2C0D489D78B1}" type="pres">
      <dgm:prSet presAssocID="{97B65B32-E146-49F2-AB1D-F886CB72A1D2}" presName="levelTx" presStyleLbl="revTx" presStyleIdx="0" presStyleCnt="0">
        <dgm:presLayoutVars>
          <dgm:chMax val="1"/>
          <dgm:bulletEnabled val="1"/>
        </dgm:presLayoutVars>
      </dgm:prSet>
      <dgm:spPr/>
    </dgm:pt>
    <dgm:pt modelId="{2FDD75EC-0BB2-408C-BB59-F433DB6E3B25}" type="pres">
      <dgm:prSet presAssocID="{BBD96CB2-DBEE-4D53-930D-C9D751A44032}" presName="Name8" presStyleCnt="0"/>
      <dgm:spPr/>
    </dgm:pt>
    <dgm:pt modelId="{A60C7F62-1786-4D2F-986A-E7B3046250C0}" type="pres">
      <dgm:prSet presAssocID="{BBD96CB2-DBEE-4D53-930D-C9D751A44032}" presName="level" presStyleLbl="node1" presStyleIdx="2" presStyleCnt="7">
        <dgm:presLayoutVars>
          <dgm:chMax val="1"/>
          <dgm:bulletEnabled val="1"/>
        </dgm:presLayoutVars>
      </dgm:prSet>
      <dgm:spPr/>
    </dgm:pt>
    <dgm:pt modelId="{B4D76D58-191E-4941-9AA7-4EA18EE65DF9}" type="pres">
      <dgm:prSet presAssocID="{BBD96CB2-DBEE-4D53-930D-C9D751A44032}" presName="levelTx" presStyleLbl="revTx" presStyleIdx="0" presStyleCnt="0">
        <dgm:presLayoutVars>
          <dgm:chMax val="1"/>
          <dgm:bulletEnabled val="1"/>
        </dgm:presLayoutVars>
      </dgm:prSet>
      <dgm:spPr/>
    </dgm:pt>
    <dgm:pt modelId="{B337AEE3-F462-4AE2-9BBB-83776922B582}" type="pres">
      <dgm:prSet presAssocID="{DCC7B971-1EBB-4B09-A8BF-FA7803E46C48}" presName="Name8" presStyleCnt="0"/>
      <dgm:spPr/>
    </dgm:pt>
    <dgm:pt modelId="{9CBE8D2A-FC0C-4F70-8E27-09860416155C}" type="pres">
      <dgm:prSet presAssocID="{DCC7B971-1EBB-4B09-A8BF-FA7803E46C48}" presName="level" presStyleLbl="node1" presStyleIdx="3" presStyleCnt="7">
        <dgm:presLayoutVars>
          <dgm:chMax val="1"/>
          <dgm:bulletEnabled val="1"/>
        </dgm:presLayoutVars>
      </dgm:prSet>
      <dgm:spPr/>
    </dgm:pt>
    <dgm:pt modelId="{8F684998-D60B-4DED-B90D-F0B83F8BA26F}" type="pres">
      <dgm:prSet presAssocID="{DCC7B971-1EBB-4B09-A8BF-FA7803E46C48}" presName="levelTx" presStyleLbl="revTx" presStyleIdx="0" presStyleCnt="0">
        <dgm:presLayoutVars>
          <dgm:chMax val="1"/>
          <dgm:bulletEnabled val="1"/>
        </dgm:presLayoutVars>
      </dgm:prSet>
      <dgm:spPr/>
    </dgm:pt>
    <dgm:pt modelId="{227AED76-741E-4218-AF77-1E8FB718A9C6}" type="pres">
      <dgm:prSet presAssocID="{9A2C33E5-570B-4E7E-AA27-49AE71E5F5A2}" presName="Name8" presStyleCnt="0"/>
      <dgm:spPr/>
    </dgm:pt>
    <dgm:pt modelId="{0F153B45-0920-40D6-A206-B5D82849BFD0}" type="pres">
      <dgm:prSet presAssocID="{9A2C33E5-570B-4E7E-AA27-49AE71E5F5A2}" presName="level" presStyleLbl="node1" presStyleIdx="4" presStyleCnt="7">
        <dgm:presLayoutVars>
          <dgm:chMax val="1"/>
          <dgm:bulletEnabled val="1"/>
        </dgm:presLayoutVars>
      </dgm:prSet>
      <dgm:spPr/>
    </dgm:pt>
    <dgm:pt modelId="{7557EB53-BC12-4A2F-A1A6-9E6B2992987E}" type="pres">
      <dgm:prSet presAssocID="{9A2C33E5-570B-4E7E-AA27-49AE71E5F5A2}" presName="levelTx" presStyleLbl="revTx" presStyleIdx="0" presStyleCnt="0">
        <dgm:presLayoutVars>
          <dgm:chMax val="1"/>
          <dgm:bulletEnabled val="1"/>
        </dgm:presLayoutVars>
      </dgm:prSet>
      <dgm:spPr/>
    </dgm:pt>
    <dgm:pt modelId="{FAA5B609-F0D1-466D-9A73-E20C5ED84038}" type="pres">
      <dgm:prSet presAssocID="{BC873200-CF65-4132-847A-6556783713E1}" presName="Name8" presStyleCnt="0"/>
      <dgm:spPr/>
    </dgm:pt>
    <dgm:pt modelId="{653CBA07-D694-404E-A7D8-C4ADE385742B}" type="pres">
      <dgm:prSet presAssocID="{BC873200-CF65-4132-847A-6556783713E1}" presName="level" presStyleLbl="node1" presStyleIdx="5" presStyleCnt="7">
        <dgm:presLayoutVars>
          <dgm:chMax val="1"/>
          <dgm:bulletEnabled val="1"/>
        </dgm:presLayoutVars>
      </dgm:prSet>
      <dgm:spPr/>
    </dgm:pt>
    <dgm:pt modelId="{D354ED14-BA3C-4F21-AED5-F82F8928D951}" type="pres">
      <dgm:prSet presAssocID="{BC873200-CF65-4132-847A-6556783713E1}" presName="levelTx" presStyleLbl="revTx" presStyleIdx="0" presStyleCnt="0">
        <dgm:presLayoutVars>
          <dgm:chMax val="1"/>
          <dgm:bulletEnabled val="1"/>
        </dgm:presLayoutVars>
      </dgm:prSet>
      <dgm:spPr/>
    </dgm:pt>
    <dgm:pt modelId="{A985FFAF-4BC8-4AEC-BA27-4B10E008A757}" type="pres">
      <dgm:prSet presAssocID="{B7BEC8BF-6510-42E4-9C49-BCA0AE8256C8}" presName="Name8" presStyleCnt="0"/>
      <dgm:spPr/>
    </dgm:pt>
    <dgm:pt modelId="{D8663E9E-C00F-41A3-8E30-97BF2AB679AA}" type="pres">
      <dgm:prSet presAssocID="{B7BEC8BF-6510-42E4-9C49-BCA0AE8256C8}" presName="level" presStyleLbl="node1" presStyleIdx="6" presStyleCnt="7">
        <dgm:presLayoutVars>
          <dgm:chMax val="1"/>
          <dgm:bulletEnabled val="1"/>
        </dgm:presLayoutVars>
      </dgm:prSet>
      <dgm:spPr/>
    </dgm:pt>
    <dgm:pt modelId="{7DDFD829-BB56-44CD-A2AE-A7D5F9AD9E6B}" type="pres">
      <dgm:prSet presAssocID="{B7BEC8BF-6510-42E4-9C49-BCA0AE8256C8}" presName="levelTx" presStyleLbl="revTx" presStyleIdx="0" presStyleCnt="0">
        <dgm:presLayoutVars>
          <dgm:chMax val="1"/>
          <dgm:bulletEnabled val="1"/>
        </dgm:presLayoutVars>
      </dgm:prSet>
      <dgm:spPr/>
    </dgm:pt>
  </dgm:ptLst>
  <dgm:cxnLst>
    <dgm:cxn modelId="{B9D3C707-A9DB-4809-A0E1-038A086ABC43}" type="presOf" srcId="{B7BEC8BF-6510-42E4-9C49-BCA0AE8256C8}" destId="{7DDFD829-BB56-44CD-A2AE-A7D5F9AD9E6B}" srcOrd="1" destOrd="0" presId="urn:microsoft.com/office/officeart/2005/8/layout/pyramid1"/>
    <dgm:cxn modelId="{FDEFC311-1F44-44BC-B22A-BE11AC2C2A77}" type="presOf" srcId="{97B65B32-E146-49F2-AB1D-F886CB72A1D2}" destId="{987760A3-3C6E-4AA6-95C5-7DB810D0DFD5}" srcOrd="0" destOrd="0" presId="urn:microsoft.com/office/officeart/2005/8/layout/pyramid1"/>
    <dgm:cxn modelId="{B9CAC918-B1A5-41AE-9D4C-E01ADC1EE372}" srcId="{35265576-7F78-4654-91CD-B89E5CA80940}" destId="{B7BEC8BF-6510-42E4-9C49-BCA0AE8256C8}" srcOrd="6" destOrd="0" parTransId="{9E0CE532-B884-4DA0-B604-002932AB48B0}" sibTransId="{EBA8A92E-1E25-4147-82C9-F96B524614B1}"/>
    <dgm:cxn modelId="{0CCDF619-657A-4AB2-B9CF-6475E1DC939A}" type="presOf" srcId="{97B65B32-E146-49F2-AB1D-F886CB72A1D2}" destId="{38EFE0DD-C8AB-4FC0-92C6-2C0D489D78B1}" srcOrd="1" destOrd="0" presId="urn:microsoft.com/office/officeart/2005/8/layout/pyramid1"/>
    <dgm:cxn modelId="{B0519D1B-30E8-4AA2-BB9B-EE30FB43F935}" srcId="{35265576-7F78-4654-91CD-B89E5CA80940}" destId="{BC873200-CF65-4132-847A-6556783713E1}" srcOrd="5" destOrd="0" parTransId="{B99ABD77-2C19-4F0C-B676-B1E914A28BC0}" sibTransId="{BCD9DF33-4962-47D8-A6FB-4A4DDDA57C63}"/>
    <dgm:cxn modelId="{319AFE1B-6E85-4402-8E80-FDC4675FD3CC}" type="presOf" srcId="{BBD96CB2-DBEE-4D53-930D-C9D751A44032}" destId="{A60C7F62-1786-4D2F-986A-E7B3046250C0}" srcOrd="0" destOrd="0" presId="urn:microsoft.com/office/officeart/2005/8/layout/pyramid1"/>
    <dgm:cxn modelId="{2E43E12A-48F2-4EDC-84D1-DB7B311906F4}" type="presOf" srcId="{BC873200-CF65-4132-847A-6556783713E1}" destId="{D354ED14-BA3C-4F21-AED5-F82F8928D951}" srcOrd="1" destOrd="0" presId="urn:microsoft.com/office/officeart/2005/8/layout/pyramid1"/>
    <dgm:cxn modelId="{0EDC9F3B-1FF3-48FB-9F6F-8D04DBA22EDD}" srcId="{35265576-7F78-4654-91CD-B89E5CA80940}" destId="{9A2C33E5-570B-4E7E-AA27-49AE71E5F5A2}" srcOrd="4" destOrd="0" parTransId="{60445F3C-B4DB-41E9-ABD9-357136691587}" sibTransId="{5A0D5185-FDCF-418E-AEC8-A152BD8B1959}"/>
    <dgm:cxn modelId="{000ED15C-3798-4C46-8196-F88F7B626BDD}" type="presOf" srcId="{892FC546-D7ED-4F22-94A4-E5A00E330AF7}" destId="{EC33303F-F8B0-4E99-B30D-6580BEC219EE}" srcOrd="1" destOrd="0" presId="urn:microsoft.com/office/officeart/2005/8/layout/pyramid1"/>
    <dgm:cxn modelId="{775DF65E-4C92-46CB-B5F2-C438A6B7E702}" srcId="{35265576-7F78-4654-91CD-B89E5CA80940}" destId="{892FC546-D7ED-4F22-94A4-E5A00E330AF7}" srcOrd="0" destOrd="0" parTransId="{44C1DEEF-237D-41AF-956D-4CA96156F429}" sibTransId="{5511E1A9-CDEB-4376-AA5F-E78568912DED}"/>
    <dgm:cxn modelId="{4A6B7541-67FC-4A68-8EF1-2F2164F043BD}" type="presOf" srcId="{B7BEC8BF-6510-42E4-9C49-BCA0AE8256C8}" destId="{D8663E9E-C00F-41A3-8E30-97BF2AB679AA}" srcOrd="0" destOrd="0" presId="urn:microsoft.com/office/officeart/2005/8/layout/pyramid1"/>
    <dgm:cxn modelId="{4F73B763-52A4-473D-8B4E-3F13BB15BF12}" type="presOf" srcId="{BC873200-CF65-4132-847A-6556783713E1}" destId="{653CBA07-D694-404E-A7D8-C4ADE385742B}" srcOrd="0" destOrd="0" presId="urn:microsoft.com/office/officeart/2005/8/layout/pyramid1"/>
    <dgm:cxn modelId="{74CD098D-E6ED-4AE9-AC93-6243572C69BC}" srcId="{35265576-7F78-4654-91CD-B89E5CA80940}" destId="{97B65B32-E146-49F2-AB1D-F886CB72A1D2}" srcOrd="1" destOrd="0" parTransId="{76273BB3-6BC9-45DD-B7C3-CD90AC6C779C}" sibTransId="{588A28EC-36CC-4E8F-911F-75F41F154DAB}"/>
    <dgm:cxn modelId="{3A41148D-E04E-4C6C-AE86-9A4F51C44D60}" type="presOf" srcId="{35265576-7F78-4654-91CD-B89E5CA80940}" destId="{CA7261FC-8AB5-4564-8E1B-CD2F6BEC80E2}" srcOrd="0" destOrd="0" presId="urn:microsoft.com/office/officeart/2005/8/layout/pyramid1"/>
    <dgm:cxn modelId="{B53D658D-CA1A-461B-9FE0-0E6AE8E08BBD}" srcId="{35265576-7F78-4654-91CD-B89E5CA80940}" destId="{DCC7B971-1EBB-4B09-A8BF-FA7803E46C48}" srcOrd="3" destOrd="0" parTransId="{CDF2479F-E16F-4317-A95B-A2121EC5873F}" sibTransId="{67B01B63-415D-477D-8728-9BE6B2325FFB}"/>
    <dgm:cxn modelId="{E4DF0F92-8459-45EB-ADB1-196E016CEC05}" type="presOf" srcId="{DCC7B971-1EBB-4B09-A8BF-FA7803E46C48}" destId="{9CBE8D2A-FC0C-4F70-8E27-09860416155C}" srcOrd="0" destOrd="0" presId="urn:microsoft.com/office/officeart/2005/8/layout/pyramid1"/>
    <dgm:cxn modelId="{885D0797-B29E-47AE-A8D4-C54E16BAA785}" type="presOf" srcId="{9A2C33E5-570B-4E7E-AA27-49AE71E5F5A2}" destId="{0F153B45-0920-40D6-A206-B5D82849BFD0}" srcOrd="0" destOrd="0" presId="urn:microsoft.com/office/officeart/2005/8/layout/pyramid1"/>
    <dgm:cxn modelId="{D090EBB0-7BAF-4D52-B092-1DFE6AC27BCF}" type="presOf" srcId="{BBD96CB2-DBEE-4D53-930D-C9D751A44032}" destId="{B4D76D58-191E-4941-9AA7-4EA18EE65DF9}" srcOrd="1" destOrd="0" presId="urn:microsoft.com/office/officeart/2005/8/layout/pyramid1"/>
    <dgm:cxn modelId="{12BD3FBE-3E6E-4BFF-8860-7581FEF46986}" type="presOf" srcId="{892FC546-D7ED-4F22-94A4-E5A00E330AF7}" destId="{D6324781-AA7E-46EC-BE54-F2B85DBB490E}" srcOrd="0" destOrd="0" presId="urn:microsoft.com/office/officeart/2005/8/layout/pyramid1"/>
    <dgm:cxn modelId="{EDEA6FE5-8078-4B35-8503-32A91B519C2A}" type="presOf" srcId="{DCC7B971-1EBB-4B09-A8BF-FA7803E46C48}" destId="{8F684998-D60B-4DED-B90D-F0B83F8BA26F}" srcOrd="1" destOrd="0" presId="urn:microsoft.com/office/officeart/2005/8/layout/pyramid1"/>
    <dgm:cxn modelId="{DBA6F2F8-D3A1-4BB8-9088-2E53A1DCADFA}" srcId="{35265576-7F78-4654-91CD-B89E5CA80940}" destId="{BBD96CB2-DBEE-4D53-930D-C9D751A44032}" srcOrd="2" destOrd="0" parTransId="{29D15915-E76E-40AD-8B69-608796205309}" sibTransId="{0A4EB57A-9384-478C-BF8B-A0C85BA8D7DA}"/>
    <dgm:cxn modelId="{ECB250FE-8F64-4E0E-81D1-4B187377F7DF}" type="presOf" srcId="{9A2C33E5-570B-4E7E-AA27-49AE71E5F5A2}" destId="{7557EB53-BC12-4A2F-A1A6-9E6B2992987E}" srcOrd="1" destOrd="0" presId="urn:microsoft.com/office/officeart/2005/8/layout/pyramid1"/>
    <dgm:cxn modelId="{A06594B4-0836-4E27-ACCA-61189923F1AB}" type="presParOf" srcId="{CA7261FC-8AB5-4564-8E1B-CD2F6BEC80E2}" destId="{827376AD-C09D-402A-BBE8-CEC3EBE2CB74}" srcOrd="0" destOrd="0" presId="urn:microsoft.com/office/officeart/2005/8/layout/pyramid1"/>
    <dgm:cxn modelId="{CF89A261-F129-48F4-94A9-DCE0BFC61699}" type="presParOf" srcId="{827376AD-C09D-402A-BBE8-CEC3EBE2CB74}" destId="{D6324781-AA7E-46EC-BE54-F2B85DBB490E}" srcOrd="0" destOrd="0" presId="urn:microsoft.com/office/officeart/2005/8/layout/pyramid1"/>
    <dgm:cxn modelId="{0E4F6999-91D0-4F1E-9D46-F54169EA2788}" type="presParOf" srcId="{827376AD-C09D-402A-BBE8-CEC3EBE2CB74}" destId="{EC33303F-F8B0-4E99-B30D-6580BEC219EE}" srcOrd="1" destOrd="0" presId="urn:microsoft.com/office/officeart/2005/8/layout/pyramid1"/>
    <dgm:cxn modelId="{0006D0F7-CD51-4968-BBE6-E13A01475584}" type="presParOf" srcId="{CA7261FC-8AB5-4564-8E1B-CD2F6BEC80E2}" destId="{B334259F-BA32-4E35-8A7B-51E81793A38D}" srcOrd="1" destOrd="0" presId="urn:microsoft.com/office/officeart/2005/8/layout/pyramid1"/>
    <dgm:cxn modelId="{A2EDDF56-83FE-4CCE-A4E4-C91DC8012E04}" type="presParOf" srcId="{B334259F-BA32-4E35-8A7B-51E81793A38D}" destId="{987760A3-3C6E-4AA6-95C5-7DB810D0DFD5}" srcOrd="0" destOrd="0" presId="urn:microsoft.com/office/officeart/2005/8/layout/pyramid1"/>
    <dgm:cxn modelId="{2A43F2D5-8DA7-44C5-BAB1-5F499F26CD54}" type="presParOf" srcId="{B334259F-BA32-4E35-8A7B-51E81793A38D}" destId="{38EFE0DD-C8AB-4FC0-92C6-2C0D489D78B1}" srcOrd="1" destOrd="0" presId="urn:microsoft.com/office/officeart/2005/8/layout/pyramid1"/>
    <dgm:cxn modelId="{B0F1674D-5CD8-497A-940E-52402F86AB7D}" type="presParOf" srcId="{CA7261FC-8AB5-4564-8E1B-CD2F6BEC80E2}" destId="{2FDD75EC-0BB2-408C-BB59-F433DB6E3B25}" srcOrd="2" destOrd="0" presId="urn:microsoft.com/office/officeart/2005/8/layout/pyramid1"/>
    <dgm:cxn modelId="{E2C281CF-8A2C-41BB-AC8B-8DD9BA5CD56D}" type="presParOf" srcId="{2FDD75EC-0BB2-408C-BB59-F433DB6E3B25}" destId="{A60C7F62-1786-4D2F-986A-E7B3046250C0}" srcOrd="0" destOrd="0" presId="urn:microsoft.com/office/officeart/2005/8/layout/pyramid1"/>
    <dgm:cxn modelId="{151F3203-C836-42EE-B79A-28B82CF5722D}" type="presParOf" srcId="{2FDD75EC-0BB2-408C-BB59-F433DB6E3B25}" destId="{B4D76D58-191E-4941-9AA7-4EA18EE65DF9}" srcOrd="1" destOrd="0" presId="urn:microsoft.com/office/officeart/2005/8/layout/pyramid1"/>
    <dgm:cxn modelId="{D674D856-AB6A-4CBE-B9CA-2A4DC2D611C4}" type="presParOf" srcId="{CA7261FC-8AB5-4564-8E1B-CD2F6BEC80E2}" destId="{B337AEE3-F462-4AE2-9BBB-83776922B582}" srcOrd="3" destOrd="0" presId="urn:microsoft.com/office/officeart/2005/8/layout/pyramid1"/>
    <dgm:cxn modelId="{CC958734-D082-474B-8033-FE906671C02E}" type="presParOf" srcId="{B337AEE3-F462-4AE2-9BBB-83776922B582}" destId="{9CBE8D2A-FC0C-4F70-8E27-09860416155C}" srcOrd="0" destOrd="0" presId="urn:microsoft.com/office/officeart/2005/8/layout/pyramid1"/>
    <dgm:cxn modelId="{1EB1A36D-4DF9-44FD-825C-930E9D0D669C}" type="presParOf" srcId="{B337AEE3-F462-4AE2-9BBB-83776922B582}" destId="{8F684998-D60B-4DED-B90D-F0B83F8BA26F}" srcOrd="1" destOrd="0" presId="urn:microsoft.com/office/officeart/2005/8/layout/pyramid1"/>
    <dgm:cxn modelId="{8AC28144-B5D2-4E37-8075-BD1BB69B953C}" type="presParOf" srcId="{CA7261FC-8AB5-4564-8E1B-CD2F6BEC80E2}" destId="{227AED76-741E-4218-AF77-1E8FB718A9C6}" srcOrd="4" destOrd="0" presId="urn:microsoft.com/office/officeart/2005/8/layout/pyramid1"/>
    <dgm:cxn modelId="{35B82879-2D27-421B-828A-7ACC7F3E4636}" type="presParOf" srcId="{227AED76-741E-4218-AF77-1E8FB718A9C6}" destId="{0F153B45-0920-40D6-A206-B5D82849BFD0}" srcOrd="0" destOrd="0" presId="urn:microsoft.com/office/officeart/2005/8/layout/pyramid1"/>
    <dgm:cxn modelId="{894413EA-AC58-46B6-B0A4-38EE631B34B6}" type="presParOf" srcId="{227AED76-741E-4218-AF77-1E8FB718A9C6}" destId="{7557EB53-BC12-4A2F-A1A6-9E6B2992987E}" srcOrd="1" destOrd="0" presId="urn:microsoft.com/office/officeart/2005/8/layout/pyramid1"/>
    <dgm:cxn modelId="{F79AC394-B2B3-47FE-99C8-79F6784633C5}" type="presParOf" srcId="{CA7261FC-8AB5-4564-8E1B-CD2F6BEC80E2}" destId="{FAA5B609-F0D1-466D-9A73-E20C5ED84038}" srcOrd="5" destOrd="0" presId="urn:microsoft.com/office/officeart/2005/8/layout/pyramid1"/>
    <dgm:cxn modelId="{B6885027-9F09-405A-9A78-C81DC26F37BF}" type="presParOf" srcId="{FAA5B609-F0D1-466D-9A73-E20C5ED84038}" destId="{653CBA07-D694-404E-A7D8-C4ADE385742B}" srcOrd="0" destOrd="0" presId="urn:microsoft.com/office/officeart/2005/8/layout/pyramid1"/>
    <dgm:cxn modelId="{00630074-279F-4C93-922F-E64564AC5681}" type="presParOf" srcId="{FAA5B609-F0D1-466D-9A73-E20C5ED84038}" destId="{D354ED14-BA3C-4F21-AED5-F82F8928D951}" srcOrd="1" destOrd="0" presId="urn:microsoft.com/office/officeart/2005/8/layout/pyramid1"/>
    <dgm:cxn modelId="{EF5FFF6B-65BE-47E0-8EC9-471141D7F00D}" type="presParOf" srcId="{CA7261FC-8AB5-4564-8E1B-CD2F6BEC80E2}" destId="{A985FFAF-4BC8-4AEC-BA27-4B10E008A757}" srcOrd="6" destOrd="0" presId="urn:microsoft.com/office/officeart/2005/8/layout/pyramid1"/>
    <dgm:cxn modelId="{E6F8C40C-0FC9-4BB9-8EBC-4F8E6C911F66}" type="presParOf" srcId="{A985FFAF-4BC8-4AEC-BA27-4B10E008A757}" destId="{D8663E9E-C00F-41A3-8E30-97BF2AB679AA}" srcOrd="0" destOrd="0" presId="urn:microsoft.com/office/officeart/2005/8/layout/pyramid1"/>
    <dgm:cxn modelId="{6423033E-C0EA-42C7-BCDF-B0265FD723A3}" type="presParOf" srcId="{A985FFAF-4BC8-4AEC-BA27-4B10E008A757}" destId="{7DDFD829-BB56-44CD-A2AE-A7D5F9AD9E6B}" srcOrd="1" destOrd="0" presId="urn:microsoft.com/office/officeart/2005/8/layout/pyramid1"/>
  </dgm:cxnLst>
  <dgm:bg/>
  <dgm:whole/>
  <dgm:extLst>
    <a:ext uri="http://schemas.microsoft.com/office/drawing/2008/diagram">
      <dsp:dataModelExt xmlns:dsp="http://schemas.microsoft.com/office/drawing/2008/diagram" relId="rId38"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6324781-AA7E-46EC-BE54-F2B85DBB490E}">
      <dsp:nvSpPr>
        <dsp:cNvPr id="0" name=""/>
        <dsp:cNvSpPr/>
      </dsp:nvSpPr>
      <dsp:spPr>
        <a:xfrm>
          <a:off x="1574610" y="0"/>
          <a:ext cx="908429" cy="686653"/>
        </a:xfrm>
        <a:prstGeom prst="trapezoid">
          <a:avLst>
            <a:gd name="adj" fmla="val 66149"/>
          </a:avLst>
        </a:prstGeom>
        <a:solidFill>
          <a:srgbClr val="FF0000"/>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1430" tIns="11430" rIns="11430" bIns="11430" numCol="1" spcCol="1270" anchor="b" anchorCtr="0">
          <a:noAutofit/>
        </a:bodyPr>
        <a:lstStyle/>
        <a:p>
          <a:pPr marL="0" lvl="0" indent="0" algn="ctr" defTabSz="400050">
            <a:lnSpc>
              <a:spcPct val="90000"/>
            </a:lnSpc>
            <a:spcBef>
              <a:spcPct val="0"/>
            </a:spcBef>
            <a:spcAft>
              <a:spcPct val="35000"/>
            </a:spcAft>
            <a:buNone/>
          </a:pPr>
          <a:r>
            <a:rPr lang="en-AU" sz="900" b="1" kern="1200"/>
            <a:t>Prosecution</a:t>
          </a:r>
        </a:p>
        <a:p>
          <a:pPr marL="0" lvl="0" indent="0" algn="ctr" defTabSz="400050">
            <a:lnSpc>
              <a:spcPct val="90000"/>
            </a:lnSpc>
            <a:spcBef>
              <a:spcPct val="0"/>
            </a:spcBef>
            <a:spcAft>
              <a:spcPct val="35000"/>
            </a:spcAft>
            <a:buNone/>
          </a:pPr>
          <a:r>
            <a:rPr lang="en-AU" sz="900" b="1" kern="1200"/>
            <a:t>/Civil penality</a:t>
          </a:r>
        </a:p>
      </dsp:txBody>
      <dsp:txXfrm>
        <a:off x="1574610" y="0"/>
        <a:ext cx="908429" cy="686653"/>
      </dsp:txXfrm>
    </dsp:sp>
    <dsp:sp modelId="{987760A3-3C6E-4AA6-95C5-7DB810D0DFD5}">
      <dsp:nvSpPr>
        <dsp:cNvPr id="0" name=""/>
        <dsp:cNvSpPr/>
      </dsp:nvSpPr>
      <dsp:spPr>
        <a:xfrm>
          <a:off x="1312175" y="686653"/>
          <a:ext cx="1433299" cy="396732"/>
        </a:xfrm>
        <a:prstGeom prst="trapezoid">
          <a:avLst>
            <a:gd name="adj" fmla="val 66149"/>
          </a:avLst>
        </a:prstGeom>
        <a:solidFill>
          <a:srgbClr val="FA8006"/>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AU" sz="900" b="1" kern="1200"/>
            <a:t>Licence and/or Permit Revocation</a:t>
          </a:r>
        </a:p>
      </dsp:txBody>
      <dsp:txXfrm>
        <a:off x="1563002" y="686653"/>
        <a:ext cx="931644" cy="396732"/>
      </dsp:txXfrm>
    </dsp:sp>
    <dsp:sp modelId="{A60C7F62-1786-4D2F-986A-E7B3046250C0}">
      <dsp:nvSpPr>
        <dsp:cNvPr id="0" name=""/>
        <dsp:cNvSpPr/>
      </dsp:nvSpPr>
      <dsp:spPr>
        <a:xfrm>
          <a:off x="1049740" y="1083386"/>
          <a:ext cx="1958169" cy="396732"/>
        </a:xfrm>
        <a:prstGeom prst="trapezoid">
          <a:avLst>
            <a:gd name="adj" fmla="val 66149"/>
          </a:avLst>
        </a:prstGeom>
        <a:solidFill>
          <a:srgbClr val="FFC000"/>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AU" sz="900" b="1" kern="1200"/>
            <a:t>Licence and/or Permit suspension</a:t>
          </a:r>
        </a:p>
      </dsp:txBody>
      <dsp:txXfrm>
        <a:off x="1392419" y="1083386"/>
        <a:ext cx="1272810" cy="396732"/>
      </dsp:txXfrm>
    </dsp:sp>
    <dsp:sp modelId="{9CBE8D2A-FC0C-4F70-8E27-09860416155C}">
      <dsp:nvSpPr>
        <dsp:cNvPr id="0" name=""/>
        <dsp:cNvSpPr/>
      </dsp:nvSpPr>
      <dsp:spPr>
        <a:xfrm>
          <a:off x="787305" y="1480118"/>
          <a:ext cx="2483039" cy="396732"/>
        </a:xfrm>
        <a:prstGeom prst="trapezoid">
          <a:avLst>
            <a:gd name="adj" fmla="val 66149"/>
          </a:avLst>
        </a:prstGeom>
        <a:solidFill>
          <a:srgbClr val="FFFF00"/>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AU" sz="900" b="1" kern="1200"/>
            <a:t>Coercive and enforcement regulatory powers</a:t>
          </a:r>
        </a:p>
      </dsp:txBody>
      <dsp:txXfrm>
        <a:off x="1221837" y="1480118"/>
        <a:ext cx="1613975" cy="396732"/>
      </dsp:txXfrm>
    </dsp:sp>
    <dsp:sp modelId="{0F153B45-0920-40D6-A206-B5D82849BFD0}">
      <dsp:nvSpPr>
        <dsp:cNvPr id="0" name=""/>
        <dsp:cNvSpPr/>
      </dsp:nvSpPr>
      <dsp:spPr>
        <a:xfrm>
          <a:off x="524870" y="1876851"/>
          <a:ext cx="3007909" cy="396732"/>
        </a:xfrm>
        <a:prstGeom prst="trapezoid">
          <a:avLst>
            <a:gd name="adj" fmla="val 66149"/>
          </a:avLst>
        </a:prstGeom>
        <a:solidFill>
          <a:srgbClr val="B1DE42"/>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AU" sz="900" b="1" kern="1200"/>
            <a:t>Secretary direction</a:t>
          </a:r>
        </a:p>
      </dsp:txBody>
      <dsp:txXfrm>
        <a:off x="1051254" y="1876851"/>
        <a:ext cx="1955141" cy="396732"/>
      </dsp:txXfrm>
    </dsp:sp>
    <dsp:sp modelId="{653CBA07-D694-404E-A7D8-C4ADE385742B}">
      <dsp:nvSpPr>
        <dsp:cNvPr id="0" name=""/>
        <dsp:cNvSpPr/>
      </dsp:nvSpPr>
      <dsp:spPr>
        <a:xfrm>
          <a:off x="262435" y="2273584"/>
          <a:ext cx="3532779" cy="396732"/>
        </a:xfrm>
        <a:prstGeom prst="trapezoid">
          <a:avLst>
            <a:gd name="adj" fmla="val 66149"/>
          </a:avLst>
        </a:prstGeom>
        <a:solidFill>
          <a:srgbClr val="49D775"/>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AU" sz="900" b="1" kern="1200"/>
            <a:t>Administrative activity</a:t>
          </a:r>
        </a:p>
      </dsp:txBody>
      <dsp:txXfrm>
        <a:off x="880671" y="2273584"/>
        <a:ext cx="2296306" cy="396732"/>
      </dsp:txXfrm>
    </dsp:sp>
    <dsp:sp modelId="{D8663E9E-C00F-41A3-8E30-97BF2AB679AA}">
      <dsp:nvSpPr>
        <dsp:cNvPr id="0" name=""/>
        <dsp:cNvSpPr/>
      </dsp:nvSpPr>
      <dsp:spPr>
        <a:xfrm>
          <a:off x="0" y="2670317"/>
          <a:ext cx="4057650" cy="396732"/>
        </a:xfrm>
        <a:prstGeom prst="trapezoid">
          <a:avLst>
            <a:gd name="adj" fmla="val 66149"/>
          </a:avLst>
        </a:prstGeom>
        <a:solidFill>
          <a:srgbClr val="2DF3D2"/>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AU" sz="900" b="1" kern="1200"/>
            <a:t>Education</a:t>
          </a:r>
        </a:p>
      </dsp:txBody>
      <dsp:txXfrm>
        <a:off x="710088" y="2670317"/>
        <a:ext cx="2637472" cy="396732"/>
      </dsp:txXfrm>
    </dsp:sp>
  </dsp:spTree>
</dsp:drawing>
</file>

<file path=word/diagrams/layout1.xml><?xml version="1.0" encoding="utf-8"?>
<dgm:layoutDef xmlns:dgm="http://schemas.openxmlformats.org/drawingml/2006/diagram" xmlns:a="http://schemas.openxmlformats.org/drawingml/2006/main" uniqueId="urn:microsoft.com/office/officeart/2005/8/layout/pyramid1">
  <dgm:title val=""/>
  <dgm:desc val=""/>
  <dgm:catLst>
    <dgm:cat type="pyramid" pri="1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B"/>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B"/>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mid"/>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3">
  <dgm:title val=""/>
  <dgm:desc val=""/>
  <dgm:catLst>
    <dgm:cat type="3D" pri="11300"/>
  </dgm:catLst>
  <dgm:scene3d>
    <a:camera prst="orthographicFront"/>
    <a:lightRig rig="threePt" dir="t"/>
  </dgm:scene3d>
  <dgm:styleLbl name="node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vennNode1">
    <dgm:scene3d>
      <a:camera prst="orthographicFront">
        <a:rot lat="0" lon="0" rev="0"/>
      </a:camera>
      <a:lightRig rig="contrasting" dir="t">
        <a:rot lat="0" lon="0" rev="1200000"/>
      </a:lightRig>
    </dgm:scene3d>
    <dgm:sp3d contourW="12700" prstMaterial="clear">
      <a:bevelT w="177800" h="254000"/>
      <a:bevelB w="152400"/>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f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alignImgPlace1">
    <dgm:scene3d>
      <a:camera prst="orthographicFront">
        <a:rot lat="0" lon="0" rev="0"/>
      </a:camera>
      <a:lightRig rig="contrasting" dir="t">
        <a:rot lat="0" lon="0" rev="1200000"/>
      </a:lightRig>
    </dgm:scene3d>
    <dgm:sp3d contourW="12700" prstMaterial="flat">
      <a:bevelT w="177800" h="254000"/>
      <a:bevelB w="152400"/>
    </dgm:sp3d>
    <dgm:txPr/>
    <dgm:style>
      <a:lnRef idx="0">
        <a:scrgbClr r="0" g="0" b="0"/>
      </a:lnRef>
      <a:fillRef idx="1">
        <a:scrgbClr r="0" g="0" b="0"/>
      </a:fillRef>
      <a:effectRef idx="1">
        <a:scrgbClr r="0" g="0" b="0"/>
      </a:effectRef>
      <a:fontRef idx="minor"/>
    </dgm:style>
  </dgm:styleLbl>
  <dgm:styleLbl name="b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sibTrans2D1">
    <dgm:scene3d>
      <a:camera prst="orthographicFront">
        <a:rot lat="0" lon="0" rev="0"/>
      </a:camera>
      <a:lightRig rig="contrasting" dir="t">
        <a:rot lat="0" lon="0" rev="1200000"/>
      </a:lightRig>
    </dgm:scene3d>
    <dgm:sp3d z="-182000" contourW="19050" prstMaterial="metal">
      <a:bevelT w="88900" h="203200"/>
      <a:bevelB w="165100" h="254000"/>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ibTrans1D1">
    <dgm:scene3d>
      <a:camera prst="orthographicFront">
        <a:rot lat="0" lon="0" rev="0"/>
      </a:camera>
      <a:lightRig rig="contrasting" dir="t">
        <a:rot lat="0" lon="0" rev="1200000"/>
      </a:lightRig>
    </dgm:scene3d>
    <dgm:sp3d z="-110000"/>
    <dgm:txPr/>
    <dgm:style>
      <a:lnRef idx="1">
        <a:scrgbClr r="0" g="0" b="0"/>
      </a:lnRef>
      <a:fillRef idx="0">
        <a:scrgbClr r="0" g="0" b="0"/>
      </a:fillRef>
      <a:effectRef idx="0">
        <a:scrgbClr r="0" g="0" b="0"/>
      </a:effectRef>
      <a:fontRef idx="minor"/>
    </dgm:style>
  </dgm:styleLbl>
  <dgm:styleLbl name="callout">
    <dgm:scene3d>
      <a:camera prst="orthographicFront">
        <a:rot lat="0" lon="0" rev="0"/>
      </a:camera>
      <a:lightRig rig="contrasting" dir="t">
        <a:rot lat="0" lon="0" rev="1200000"/>
      </a:lightRig>
    </dgm:scene3d>
    <dgm:sp3d z="10000"/>
    <dgm:txPr/>
    <dgm:style>
      <a:lnRef idx="2">
        <a:scrgbClr r="0" g="0" b="0"/>
      </a:lnRef>
      <a:fillRef idx="1">
        <a:scrgbClr r="0" g="0" b="0"/>
      </a:fillRef>
      <a:effectRef idx="0">
        <a:scrgbClr r="0" g="0" b="0"/>
      </a:effectRef>
      <a:fontRef idx="minor"/>
    </dgm:style>
  </dgm:styleLbl>
  <dgm:styleLbl name="asst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parChTrans2D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1D1">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con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tr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FgAcc1">
    <dgm:scene3d>
      <a:camera prst="orthographicFront">
        <a:rot lat="0" lon="0" rev="0"/>
      </a:camera>
      <a:lightRig rig="contrasting" dir="t">
        <a:rot lat="0" lon="0" rev="1200000"/>
      </a:lightRig>
    </dgm:scene3d>
    <dgm:sp3d z="300000" contourW="12700" prstMaterial="flat">
      <a:bevelT w="177800" h="254000"/>
      <a:bevelB w="152400"/>
    </dgm:sp3d>
    <dgm:txPr/>
    <dgm:style>
      <a:lnRef idx="0">
        <a:scrgbClr r="0" g="0" b="0"/>
      </a:lnRef>
      <a:fillRef idx="1">
        <a:scrgbClr r="0" g="0" b="0"/>
      </a:fillRef>
      <a:effectRef idx="0">
        <a:scrgbClr r="0" g="0" b="0"/>
      </a:effectRef>
      <a:fontRef idx="minor"/>
    </dgm:style>
  </dgm:styleLbl>
  <dgm:styleLbl name="solid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Follow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0">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2">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3">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4">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hp">
    <dgm:scene3d>
      <a:camera prst="orthographicFront">
        <a:rot lat="0" lon="0" rev="0"/>
      </a:camera>
      <a:lightRig rig="contrasting" dir="t">
        <a:rot lat="0" lon="0" rev="1200000"/>
      </a:lightRig>
    </dgm:scene3d>
    <dgm:sp3d z="-300000" prstMaterial="plastic"/>
    <dgm:txPr/>
    <dgm:style>
      <a:lnRef idx="1">
        <a:scrgbClr r="0" g="0" b="0"/>
      </a:lnRef>
      <a:fillRef idx="1">
        <a:scrgbClr r="0" g="0" b="0"/>
      </a:fillRef>
      <a:effectRef idx="0">
        <a:scrgbClr r="0" g="0" b="0"/>
      </a:effectRef>
      <a:fontRef idx="minor"/>
    </dgm:style>
  </dgm:styleLbl>
  <dgm:styleLbl name="dkBgShp">
    <dgm:scene3d>
      <a:camera prst="orthographicFront">
        <a:rot lat="0" lon="0" rev="0"/>
      </a:camera>
      <a:lightRig rig="contrasting" dir="t">
        <a:rot lat="0" lon="0" rev="1200000"/>
      </a:lightRig>
    </dgm:scene3d>
    <dgm:sp3d contourW="12700" prstMaterial="flat">
      <a:bevelT w="100800" h="154000"/>
      <a:bevelB w="152400"/>
    </dgm:sp3d>
    <dgm:txPr/>
    <dgm:style>
      <a:lnRef idx="0">
        <a:scrgbClr r="0" g="0" b="0"/>
      </a:lnRef>
      <a:fillRef idx="1">
        <a:scrgbClr r="0" g="0" b="0"/>
      </a:fillRef>
      <a:effectRef idx="0">
        <a:scrgbClr r="0" g="0" b="0"/>
      </a:effectRef>
      <a:fontRef idx="minor"/>
    </dgm:style>
  </dgm:styleLbl>
  <dgm:styleLbl name="trBgShp">
    <dgm:scene3d>
      <a:camera prst="orthographicFront">
        <a:rot lat="0" lon="0" rev="0"/>
      </a:camera>
      <a:lightRig rig="contrasting" dir="t">
        <a:rot lat="0" lon="0" rev="1200000"/>
      </a:lightRig>
    </dgm:scene3d>
    <dgm:sp3d z="-152400" prstMaterial="matte"/>
    <dgm:txPr/>
    <dgm:style>
      <a:lnRef idx="1">
        <a:scrgbClr r="0" g="0" b="0"/>
      </a:lnRef>
      <a:fillRef idx="1">
        <a:scrgbClr r="0" g="0" b="0"/>
      </a:fillRef>
      <a:effectRef idx="0">
        <a:scrgbClr r="0" g="0" b="0"/>
      </a:effectRef>
      <a:fontRef idx="minor"/>
    </dgm:style>
  </dgm:styleLbl>
  <dgm:styleLbl name="fgShp">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1">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2-09-06T04:10:06.285"/>
    </inkml:context>
    <inkml:brush xml:id="br0">
      <inkml:brushProperty name="width" value="0.05" units="cm"/>
      <inkml:brushProperty name="height" value="0.05" units="cm"/>
    </inkml:brush>
  </inkml:definitions>
  <inkml:trace contextRef="#ctx0" brushRef="#br0">175 4743 6791 0 0,'-13'-16'332'0'0,"0"0"0"0"0,0-1-1 0 0,2-1 1 0 0,0 0 0 0 0,1 0-1 0 0,1-1 1 0 0,1 0-1 0 0,1-1 1 0 0,0 1 0 0 0,-5-30-1 0 0,-34-233 1976 0 0,34 146-902 0 0,9-224-1 0 0,21 131-626 0 0,-4 64-464 0 0,37-557 1829 0 0,-28 431-1416 0 0,56-374 643 0 0,-5 303-980 0 0,4-26-388 0 0,-66 298-76 0 0,29-164-150 0 0,-28 189 159 0 0,42-118 0 0 0,-25 111 13 0 0,61-105 0 0 0,-89 172 42 0 0,2-1-35 0 0,0 0 1 0 0,0-1 0 0 0,-1 0-1 0 0,0 0 1 0 0,-1 0 0 0 0,1 0-1 0 0,1-13 1 0 0,-4 19-36 0 0,-9 13-271 0 0,-4 3 179 0 0,12-11 108 0 0,0-1-4 0 0,1-1-46 0 0,0 0 0 0 0,-1 0 0 0 0,1 0 0 0 0,0 0 0 0 0,0 0 0 0 0,0 0 0 0 0,0 0 0 0 0,1 0 0 0 0,-1 1 0 0 0,1 1 0 0 0,0 2-569 0 0,2 7-732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CD567-E301-405E-B909-C5C5264B7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15</Pages>
  <Words>3240</Words>
  <Characters>19349</Characters>
  <Application>Microsoft Office Word</Application>
  <DocSecurity>0</DocSecurity>
  <Lines>411</Lines>
  <Paragraphs>225</Paragraphs>
  <ScaleCrop>false</ScaleCrop>
  <HeadingPairs>
    <vt:vector size="2" baseType="variant">
      <vt:variant>
        <vt:lpstr>Title</vt:lpstr>
      </vt:variant>
      <vt:variant>
        <vt:i4>1</vt:i4>
      </vt:variant>
    </vt:vector>
  </HeadingPairs>
  <TitlesOfParts>
    <vt:vector size="1" baseType="lpstr">
      <vt:lpstr>Compliance &amp; Enforcement Framework 2023-25</vt:lpstr>
    </vt:vector>
  </TitlesOfParts>
  <Company>Department of Health and Aged Care</Company>
  <LinksUpToDate>false</LinksUpToDate>
  <CharactersWithSpaces>22364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Compliance and Enforcement Framework 2023-25</dc:title>
  <dc:subject/>
  <dc:creator>Office of Drug Control</dc:creator>
  <cp:keywords/>
  <dc:description/>
  <cp:lastModifiedBy>PITKIN, Brendan</cp:lastModifiedBy>
  <cp:revision>5</cp:revision>
  <dcterms:created xsi:type="dcterms:W3CDTF">2023-03-26T23:33:00Z</dcterms:created>
  <dcterms:modified xsi:type="dcterms:W3CDTF">2023-03-26T23:58:00Z</dcterms:modified>
</cp:coreProperties>
</file>