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BF91B4" w14:textId="60E60D41" w:rsidR="00751A23" w:rsidRPr="00E71147" w:rsidRDefault="00335A9E" w:rsidP="00751A23">
      <w:pPr>
        <w:pStyle w:val="Title"/>
      </w:pPr>
      <w:r w:rsidRPr="00E71147">
        <w:t>Business Plan</w:t>
      </w:r>
      <w:r w:rsidR="00C83BAC">
        <w:t>: January-June 2022</w:t>
      </w:r>
      <w:r w:rsidRPr="00E71147">
        <w:tab/>
      </w:r>
    </w:p>
    <w:p w14:paraId="5945651B" w14:textId="461039AB" w:rsidR="00751A23" w:rsidRPr="00E71147" w:rsidRDefault="00335A9E" w:rsidP="00751A23">
      <w:pPr>
        <w:pStyle w:val="Subtitle"/>
        <w:sectPr w:rsidR="00751A23" w:rsidRPr="00E71147" w:rsidSect="00D45D94">
          <w:headerReference w:type="first" r:id="rId11"/>
          <w:type w:val="continuous"/>
          <w:pgSz w:w="11906" w:h="16838"/>
          <w:pgMar w:top="1701" w:right="1418" w:bottom="1418" w:left="1418" w:header="850" w:footer="709" w:gutter="0"/>
          <w:cols w:space="708"/>
          <w:titlePg/>
          <w:docGrid w:linePitch="360"/>
        </w:sectPr>
      </w:pPr>
      <w:r w:rsidRPr="00E71147">
        <w:t>Office of Drug Control</w:t>
      </w:r>
    </w:p>
    <w:p w14:paraId="36059B36" w14:textId="779D7215" w:rsidR="006C405F" w:rsidRDefault="00FF289F" w:rsidP="001B02F7">
      <w:r>
        <w:br w:type="page"/>
      </w:r>
      <w:r w:rsidR="006C405F" w:rsidRPr="006C405F">
        <w:lastRenderedPageBreak/>
        <w:t xml:space="preserve">Message from the Deputy Secretary </w:t>
      </w:r>
    </w:p>
    <w:p w14:paraId="2566F7D6" w14:textId="329C40CE" w:rsidR="007D7208" w:rsidRDefault="004817FA" w:rsidP="005C012B">
      <w:pPr>
        <w:pStyle w:val="Heading1"/>
        <w:spacing w:before="60" w:afterLines="60" w:after="144"/>
        <w:rPr>
          <w:color w:val="000000" w:themeColor="text1"/>
          <w:sz w:val="21"/>
          <w:szCs w:val="21"/>
        </w:rPr>
      </w:pPr>
      <w:r w:rsidRPr="007D7208">
        <w:rPr>
          <w:color w:val="000000" w:themeColor="text1"/>
          <w:sz w:val="21"/>
          <w:szCs w:val="21"/>
        </w:rPr>
        <w:t>Welcome to the inaugural Business Plan for the Office of Drug Control (ODC), the first of what will become an annual publication.</w:t>
      </w:r>
    </w:p>
    <w:p w14:paraId="2A06613C" w14:textId="4EEF5EF6" w:rsidR="00280657" w:rsidRPr="00EC4015" w:rsidRDefault="00280657" w:rsidP="00280657">
      <w:pPr>
        <w:spacing w:before="60" w:afterLines="60" w:after="144"/>
        <w:rPr>
          <w:szCs w:val="22"/>
        </w:rPr>
      </w:pPr>
      <w:r>
        <w:rPr>
          <w:sz w:val="21"/>
          <w:szCs w:val="21"/>
        </w:rPr>
        <w:t>T</w:t>
      </w:r>
      <w:r w:rsidRPr="007D7208">
        <w:rPr>
          <w:sz w:val="21"/>
          <w:szCs w:val="21"/>
        </w:rPr>
        <w:t>his Business Plan set</w:t>
      </w:r>
      <w:r>
        <w:rPr>
          <w:sz w:val="21"/>
          <w:szCs w:val="21"/>
        </w:rPr>
        <w:t>s</w:t>
      </w:r>
      <w:r w:rsidRPr="007D7208">
        <w:rPr>
          <w:sz w:val="21"/>
          <w:szCs w:val="21"/>
        </w:rPr>
        <w:t xml:space="preserve"> out our regulation, regulatory reform, stakeholder education and engagement, and compliance agenda for the remainder of the 2021-22 financial year. It supplements the </w:t>
      </w:r>
      <w:r w:rsidRPr="007D7208">
        <w:rPr>
          <w:i/>
          <w:iCs/>
          <w:sz w:val="21"/>
          <w:szCs w:val="21"/>
        </w:rPr>
        <w:t>Health Portfolio Budget Statements</w:t>
      </w:r>
      <w:r>
        <w:rPr>
          <w:i/>
          <w:iCs/>
          <w:sz w:val="21"/>
          <w:szCs w:val="21"/>
        </w:rPr>
        <w:t xml:space="preserve"> </w:t>
      </w:r>
      <w:r w:rsidRPr="0037693C">
        <w:rPr>
          <w:iCs/>
          <w:sz w:val="21"/>
          <w:szCs w:val="21"/>
        </w:rPr>
        <w:t>and</w:t>
      </w:r>
      <w:r w:rsidRPr="007D7208">
        <w:rPr>
          <w:i/>
          <w:iCs/>
          <w:sz w:val="21"/>
          <w:szCs w:val="21"/>
        </w:rPr>
        <w:t xml:space="preserve"> </w:t>
      </w:r>
      <w:r w:rsidRPr="007D7208">
        <w:rPr>
          <w:sz w:val="21"/>
          <w:szCs w:val="21"/>
        </w:rPr>
        <w:t xml:space="preserve">the </w:t>
      </w:r>
      <w:r w:rsidRPr="007D7208">
        <w:rPr>
          <w:i/>
          <w:iCs/>
          <w:sz w:val="21"/>
          <w:szCs w:val="21"/>
        </w:rPr>
        <w:t>Department of Health Corporate Plan</w:t>
      </w:r>
      <w:r w:rsidRPr="007D7208">
        <w:rPr>
          <w:sz w:val="21"/>
          <w:szCs w:val="21"/>
        </w:rPr>
        <w:t>.</w:t>
      </w:r>
    </w:p>
    <w:p w14:paraId="412D7B87" w14:textId="3FCB88DB" w:rsidR="000E401D" w:rsidRPr="005C012B" w:rsidRDefault="004817FA" w:rsidP="005C012B">
      <w:pPr>
        <w:pStyle w:val="Heading1"/>
        <w:spacing w:before="60" w:afterLines="60" w:after="144"/>
        <w:rPr>
          <w:color w:val="000000" w:themeColor="text1"/>
          <w:sz w:val="21"/>
          <w:szCs w:val="21"/>
        </w:rPr>
      </w:pPr>
      <w:r w:rsidRPr="007D7208">
        <w:rPr>
          <w:color w:val="000000" w:themeColor="text1"/>
          <w:sz w:val="21"/>
          <w:szCs w:val="21"/>
        </w:rPr>
        <w:t>Over the last few years there has been a significant amount of change in relation to the regulation of narcotic drugs in Australia, in particular</w:t>
      </w:r>
      <w:r w:rsidR="000E401D" w:rsidRPr="007D7208">
        <w:rPr>
          <w:color w:val="000000" w:themeColor="text1"/>
          <w:sz w:val="21"/>
          <w:szCs w:val="21"/>
        </w:rPr>
        <w:t>, due to</w:t>
      </w:r>
      <w:r w:rsidRPr="007D7208">
        <w:rPr>
          <w:color w:val="000000" w:themeColor="text1"/>
          <w:sz w:val="21"/>
          <w:szCs w:val="21"/>
        </w:rPr>
        <w:t xml:space="preserve"> the growth of medicinal cannabis industry. To </w:t>
      </w:r>
      <w:r w:rsidR="00280657">
        <w:rPr>
          <w:color w:val="000000" w:themeColor="text1"/>
          <w:sz w:val="21"/>
          <w:szCs w:val="21"/>
        </w:rPr>
        <w:t>ensure the appropriateness of Australia’s regulatory framework for medicinal cannabis</w:t>
      </w:r>
      <w:r w:rsidR="002A135D">
        <w:rPr>
          <w:color w:val="000000" w:themeColor="text1"/>
          <w:sz w:val="21"/>
          <w:szCs w:val="21"/>
        </w:rPr>
        <w:t>,</w:t>
      </w:r>
      <w:r w:rsidR="00280657">
        <w:rPr>
          <w:color w:val="000000" w:themeColor="text1"/>
          <w:sz w:val="21"/>
          <w:szCs w:val="21"/>
        </w:rPr>
        <w:t xml:space="preserve"> in 2019 the Australian Government commissioned </w:t>
      </w:r>
      <w:r w:rsidRPr="007D7208">
        <w:rPr>
          <w:color w:val="000000" w:themeColor="text1"/>
          <w:sz w:val="21"/>
          <w:szCs w:val="21"/>
        </w:rPr>
        <w:t>a significant review of the scheme</w:t>
      </w:r>
      <w:r w:rsidR="00280657">
        <w:rPr>
          <w:color w:val="000000" w:themeColor="text1"/>
          <w:sz w:val="21"/>
          <w:szCs w:val="21"/>
        </w:rPr>
        <w:t>,</w:t>
      </w:r>
      <w:r w:rsidRPr="007D7208">
        <w:rPr>
          <w:color w:val="000000" w:themeColor="text1"/>
          <w:sz w:val="21"/>
          <w:szCs w:val="21"/>
        </w:rPr>
        <w:t xml:space="preserve"> </w:t>
      </w:r>
      <w:r w:rsidR="00280657">
        <w:rPr>
          <w:color w:val="000000" w:themeColor="text1"/>
          <w:sz w:val="21"/>
          <w:szCs w:val="21"/>
        </w:rPr>
        <w:t xml:space="preserve">which </w:t>
      </w:r>
      <w:r w:rsidRPr="007D7208">
        <w:rPr>
          <w:color w:val="000000" w:themeColor="text1"/>
          <w:sz w:val="21"/>
          <w:szCs w:val="21"/>
        </w:rPr>
        <w:t xml:space="preserve">was undertaken by Professor John McMillan AO. The </w:t>
      </w:r>
      <w:r w:rsidR="00280657">
        <w:rPr>
          <w:color w:val="000000" w:themeColor="text1"/>
          <w:sz w:val="21"/>
          <w:szCs w:val="21"/>
        </w:rPr>
        <w:t xml:space="preserve">ODC has been progressively implementing the </w:t>
      </w:r>
      <w:r w:rsidRPr="007D7208">
        <w:rPr>
          <w:color w:val="000000" w:themeColor="text1"/>
          <w:sz w:val="21"/>
          <w:szCs w:val="21"/>
        </w:rPr>
        <w:t xml:space="preserve">Review recommendations, culminating in the introduction </w:t>
      </w:r>
      <w:r w:rsidR="000E401D" w:rsidRPr="007D7208">
        <w:rPr>
          <w:color w:val="000000" w:themeColor="text1"/>
          <w:sz w:val="21"/>
          <w:szCs w:val="21"/>
        </w:rPr>
        <w:t>on 24</w:t>
      </w:r>
      <w:r w:rsidRPr="007D7208">
        <w:rPr>
          <w:color w:val="000000" w:themeColor="text1"/>
          <w:sz w:val="21"/>
          <w:szCs w:val="21"/>
        </w:rPr>
        <w:t xml:space="preserve"> December 2021 of a single licence framework with simplified permit arrangements for regulating medicinal cannabis cultivation, production and manufacture activities. These reforms are aimed at reducing the regulatory burden and increasing operational flexibility for industry. </w:t>
      </w:r>
    </w:p>
    <w:p w14:paraId="5D81B34E" w14:textId="501AE3A6" w:rsidR="004817FA" w:rsidRPr="001B02F7" w:rsidRDefault="000E401D" w:rsidP="001B02F7">
      <w:pPr>
        <w:spacing w:before="60" w:after="240"/>
        <w:rPr>
          <w:sz w:val="21"/>
          <w:szCs w:val="21"/>
        </w:rPr>
      </w:pPr>
      <w:r w:rsidRPr="007D7208">
        <w:rPr>
          <w:sz w:val="21"/>
          <w:szCs w:val="21"/>
        </w:rPr>
        <w:t>The Government</w:t>
      </w:r>
      <w:r w:rsidR="00473124">
        <w:rPr>
          <w:sz w:val="21"/>
          <w:szCs w:val="21"/>
        </w:rPr>
        <w:t>,</w:t>
      </w:r>
      <w:r w:rsidR="00280657">
        <w:rPr>
          <w:sz w:val="21"/>
          <w:szCs w:val="21"/>
        </w:rPr>
        <w:t xml:space="preserve"> as part of its Pacific Step-up initiative</w:t>
      </w:r>
      <w:r w:rsidR="00473124">
        <w:rPr>
          <w:sz w:val="21"/>
          <w:szCs w:val="21"/>
        </w:rPr>
        <w:t>,</w:t>
      </w:r>
      <w:r w:rsidR="00280657">
        <w:rPr>
          <w:sz w:val="21"/>
          <w:szCs w:val="21"/>
        </w:rPr>
        <w:t xml:space="preserve"> </w:t>
      </w:r>
      <w:r w:rsidRPr="007D7208">
        <w:rPr>
          <w:sz w:val="21"/>
          <w:szCs w:val="21"/>
        </w:rPr>
        <w:t xml:space="preserve">recently implemented </w:t>
      </w:r>
      <w:r w:rsidR="00280657">
        <w:rPr>
          <w:sz w:val="21"/>
          <w:szCs w:val="21"/>
        </w:rPr>
        <w:t xml:space="preserve">a two-year pilot program for the commercial importation of kava. The Department of Health, through the ODC, is the lead agency for the kava pilot, which includes a comprehensive evaluation to inform </w:t>
      </w:r>
      <w:r w:rsidR="00920CE9">
        <w:rPr>
          <w:sz w:val="21"/>
          <w:szCs w:val="21"/>
        </w:rPr>
        <w:t>recommendations to Government at the conclusion of the pilot</w:t>
      </w:r>
      <w:r w:rsidR="00280657">
        <w:rPr>
          <w:sz w:val="21"/>
          <w:szCs w:val="21"/>
        </w:rPr>
        <w:t>.</w:t>
      </w:r>
    </w:p>
    <w:p w14:paraId="55941B0E" w14:textId="11B7ABFD" w:rsidR="000324B4" w:rsidRDefault="006C405F" w:rsidP="001B02F7">
      <w:pPr>
        <w:spacing w:after="240"/>
        <w:jc w:val="right"/>
        <w:rPr>
          <w:szCs w:val="22"/>
        </w:rPr>
      </w:pPr>
      <w:r w:rsidRPr="00EC4015">
        <w:rPr>
          <w:szCs w:val="22"/>
        </w:rPr>
        <w:t xml:space="preserve">Adjunct Prof John </w:t>
      </w:r>
      <w:proofErr w:type="spellStart"/>
      <w:r w:rsidRPr="00EC4015">
        <w:rPr>
          <w:szCs w:val="22"/>
        </w:rPr>
        <w:t>Skerritt</w:t>
      </w:r>
      <w:proofErr w:type="spellEnd"/>
      <w:r w:rsidRPr="00EC4015">
        <w:rPr>
          <w:szCs w:val="22"/>
        </w:rPr>
        <w:t xml:space="preserve"> FTSE FIPAA (Vic)</w:t>
      </w:r>
    </w:p>
    <w:p w14:paraId="4E4DC2E7" w14:textId="77777777" w:rsidR="000324B4" w:rsidRDefault="000324B4">
      <w:pPr>
        <w:rPr>
          <w:szCs w:val="22"/>
        </w:rPr>
      </w:pPr>
      <w:r>
        <w:rPr>
          <w:szCs w:val="22"/>
        </w:rPr>
        <w:br w:type="page"/>
      </w:r>
    </w:p>
    <w:p w14:paraId="564497EC" w14:textId="102048C7" w:rsidR="00CA4BE3" w:rsidRPr="00E71147" w:rsidRDefault="00C83BAC" w:rsidP="00CA4BE3">
      <w:pPr>
        <w:pStyle w:val="Heading1"/>
      </w:pPr>
      <w:r>
        <w:lastRenderedPageBreak/>
        <w:t>Role</w:t>
      </w:r>
      <w:r w:rsidR="0097121B">
        <w:t xml:space="preserve"> of the O</w:t>
      </w:r>
      <w:r>
        <w:t>ffice of Drug Control</w:t>
      </w:r>
    </w:p>
    <w:p w14:paraId="555BE7C1" w14:textId="44960693" w:rsidR="00285F1D" w:rsidRPr="004817FA" w:rsidRDefault="00285F1D" w:rsidP="005C012B">
      <w:pPr>
        <w:shd w:val="clear" w:color="auto" w:fill="FFFFFF"/>
        <w:spacing w:beforeLines="60" w:before="144" w:afterLines="60" w:after="144"/>
        <w:rPr>
          <w:rFonts w:cs="Arial"/>
          <w:color w:val="000000" w:themeColor="text1"/>
          <w:sz w:val="21"/>
        </w:rPr>
      </w:pPr>
      <w:r w:rsidRPr="004817FA">
        <w:rPr>
          <w:rFonts w:cs="Arial"/>
          <w:color w:val="000000" w:themeColor="text1"/>
          <w:sz w:val="21"/>
        </w:rPr>
        <w:t xml:space="preserve">The ODC, </w:t>
      </w:r>
      <w:r w:rsidR="00450C8A" w:rsidRPr="004817FA">
        <w:rPr>
          <w:rFonts w:cs="Arial"/>
          <w:color w:val="000000" w:themeColor="text1"/>
          <w:sz w:val="21"/>
        </w:rPr>
        <w:t xml:space="preserve">as </w:t>
      </w:r>
      <w:r w:rsidRPr="004817FA">
        <w:rPr>
          <w:rFonts w:cs="Arial"/>
          <w:color w:val="000000" w:themeColor="text1"/>
          <w:sz w:val="21"/>
        </w:rPr>
        <w:t>part of the Department of Health, regulates and provides advice on</w:t>
      </w:r>
      <w:r w:rsidR="00A011B5">
        <w:rPr>
          <w:rFonts w:cs="Arial"/>
          <w:color w:val="000000" w:themeColor="text1"/>
          <w:sz w:val="21"/>
        </w:rPr>
        <w:t xml:space="preserve"> controlled drugs</w:t>
      </w:r>
      <w:r w:rsidRPr="004817FA">
        <w:rPr>
          <w:rFonts w:cs="Arial"/>
          <w:color w:val="000000" w:themeColor="text1"/>
          <w:sz w:val="21"/>
        </w:rPr>
        <w:t xml:space="preserve"> to support Australia's obligations under International Drug Conventions.</w:t>
      </w:r>
    </w:p>
    <w:p w14:paraId="41F9163A" w14:textId="5D4CDBC7" w:rsidR="00285F1D" w:rsidRPr="004817FA" w:rsidRDefault="00866B7A" w:rsidP="005C012B">
      <w:pPr>
        <w:shd w:val="clear" w:color="auto" w:fill="FFFFFF"/>
        <w:spacing w:beforeLines="60" w:before="144" w:afterLines="60" w:after="144"/>
        <w:rPr>
          <w:rFonts w:cs="Arial"/>
          <w:color w:val="000000" w:themeColor="text1"/>
          <w:sz w:val="21"/>
        </w:rPr>
      </w:pPr>
      <w:r w:rsidRPr="004817FA">
        <w:rPr>
          <w:rFonts w:cs="Arial"/>
          <w:color w:val="000000" w:themeColor="text1"/>
          <w:sz w:val="21"/>
        </w:rPr>
        <w:t xml:space="preserve">The </w:t>
      </w:r>
      <w:r w:rsidR="00285F1D" w:rsidRPr="004817FA">
        <w:rPr>
          <w:rFonts w:cs="Arial"/>
          <w:color w:val="000000" w:themeColor="text1"/>
          <w:sz w:val="21"/>
        </w:rPr>
        <w:t>ODC’s responsibilities</w:t>
      </w:r>
      <w:r w:rsidR="008E046A" w:rsidRPr="004817FA">
        <w:rPr>
          <w:rFonts w:cs="Arial"/>
          <w:color w:val="000000" w:themeColor="text1"/>
          <w:sz w:val="21"/>
        </w:rPr>
        <w:t xml:space="preserve"> include the regulation of the import, export and manufacture of controlled drugs to ensure access to essential medications, </w:t>
      </w:r>
      <w:r w:rsidR="00285F1D" w:rsidRPr="004817FA">
        <w:rPr>
          <w:rFonts w:cs="Arial"/>
          <w:color w:val="000000" w:themeColor="text1"/>
          <w:sz w:val="21"/>
        </w:rPr>
        <w:t>the regulation of medicinal cannabis cultivation</w:t>
      </w:r>
      <w:r w:rsidR="00774901">
        <w:rPr>
          <w:rFonts w:cs="Arial"/>
          <w:color w:val="000000" w:themeColor="text1"/>
          <w:sz w:val="21"/>
        </w:rPr>
        <w:t xml:space="preserve"> and production</w:t>
      </w:r>
      <w:r w:rsidR="00285F1D" w:rsidRPr="004817FA">
        <w:rPr>
          <w:rFonts w:cs="Arial"/>
          <w:color w:val="000000" w:themeColor="text1"/>
          <w:sz w:val="21"/>
        </w:rPr>
        <w:t xml:space="preserve">; reporting on activities to the International Narcotic Control Board (INCB); applying amendments to international drug controls in Australia and </w:t>
      </w:r>
      <w:r w:rsidR="008E046A" w:rsidRPr="004817FA">
        <w:rPr>
          <w:rFonts w:cs="Arial"/>
          <w:color w:val="000000" w:themeColor="text1"/>
          <w:sz w:val="21"/>
        </w:rPr>
        <w:t>providing in-depth travel advice regarding travelling with controlled drugs</w:t>
      </w:r>
      <w:r w:rsidR="00EC4015" w:rsidRPr="004817FA">
        <w:rPr>
          <w:rFonts w:cs="Arial"/>
          <w:color w:val="000000" w:themeColor="text1"/>
          <w:sz w:val="21"/>
        </w:rPr>
        <w:t>.</w:t>
      </w:r>
    </w:p>
    <w:p w14:paraId="59AAB194" w14:textId="617C97C3" w:rsidR="008E046A" w:rsidRPr="004817FA" w:rsidRDefault="00DC0727" w:rsidP="005C012B">
      <w:pPr>
        <w:shd w:val="clear" w:color="auto" w:fill="FFFFFF"/>
        <w:spacing w:beforeLines="60" w:before="144" w:afterLines="60" w:after="144"/>
        <w:rPr>
          <w:rFonts w:cs="Arial"/>
          <w:color w:val="000000" w:themeColor="text1"/>
          <w:sz w:val="21"/>
        </w:rPr>
      </w:pPr>
      <w:r w:rsidRPr="004817FA">
        <w:rPr>
          <w:rFonts w:cs="Arial"/>
          <w:color w:val="000000" w:themeColor="text1"/>
          <w:sz w:val="21"/>
        </w:rPr>
        <w:t xml:space="preserve">The </w:t>
      </w:r>
      <w:r w:rsidR="00285F1D" w:rsidRPr="004817FA">
        <w:rPr>
          <w:rFonts w:cs="Arial"/>
          <w:color w:val="000000" w:themeColor="text1"/>
          <w:sz w:val="21"/>
        </w:rPr>
        <w:t>ODC exercises powers conferred through</w:t>
      </w:r>
      <w:r w:rsidR="0072716C" w:rsidRPr="004817FA">
        <w:rPr>
          <w:rFonts w:cs="Arial"/>
          <w:color w:val="000000" w:themeColor="text1"/>
          <w:sz w:val="21"/>
        </w:rPr>
        <w:t xml:space="preserve"> the </w:t>
      </w:r>
      <w:r w:rsidR="0072716C" w:rsidRPr="004817FA">
        <w:rPr>
          <w:rFonts w:cs="Arial"/>
          <w:i/>
          <w:iCs/>
          <w:color w:val="000000" w:themeColor="text1"/>
          <w:sz w:val="21"/>
        </w:rPr>
        <w:t>Narcotic Drugs Act 1967</w:t>
      </w:r>
      <w:r w:rsidR="0072716C" w:rsidRPr="004817FA">
        <w:rPr>
          <w:rFonts w:cs="Arial"/>
          <w:color w:val="000000" w:themeColor="text1"/>
          <w:sz w:val="21"/>
        </w:rPr>
        <w:t xml:space="preserve"> and associated regulations</w:t>
      </w:r>
      <w:r w:rsidR="00EC4015" w:rsidRPr="004817FA">
        <w:rPr>
          <w:rFonts w:cs="Arial"/>
          <w:color w:val="000000" w:themeColor="text1"/>
          <w:sz w:val="21"/>
        </w:rPr>
        <w:t>:</w:t>
      </w:r>
    </w:p>
    <w:p w14:paraId="228B8359" w14:textId="163E4757" w:rsidR="008E046A" w:rsidRPr="004817FA" w:rsidRDefault="008E046A" w:rsidP="005C012B">
      <w:pPr>
        <w:pStyle w:val="ListParagraph"/>
        <w:numPr>
          <w:ilvl w:val="0"/>
          <w:numId w:val="30"/>
        </w:numPr>
        <w:shd w:val="clear" w:color="auto" w:fill="FFFFFF"/>
        <w:spacing w:beforeLines="60" w:before="144" w:afterLines="60" w:after="144"/>
        <w:rPr>
          <w:rFonts w:cs="Arial"/>
          <w:color w:val="000000" w:themeColor="text1"/>
          <w:sz w:val="21"/>
        </w:rPr>
      </w:pPr>
      <w:r w:rsidRPr="004817FA">
        <w:rPr>
          <w:rFonts w:cs="Arial"/>
          <w:color w:val="000000" w:themeColor="text1"/>
          <w:sz w:val="21"/>
        </w:rPr>
        <w:t>Narcotic Drugs Regulation 2016</w:t>
      </w:r>
    </w:p>
    <w:p w14:paraId="6E4398A3" w14:textId="50760125" w:rsidR="008E046A" w:rsidRPr="004817FA" w:rsidRDefault="008E046A" w:rsidP="005C012B">
      <w:pPr>
        <w:pStyle w:val="ListParagraph"/>
        <w:numPr>
          <w:ilvl w:val="0"/>
          <w:numId w:val="30"/>
        </w:numPr>
        <w:shd w:val="clear" w:color="auto" w:fill="FFFFFF"/>
        <w:spacing w:beforeLines="60" w:before="144" w:afterLines="60" w:after="144"/>
        <w:rPr>
          <w:rFonts w:cs="Arial"/>
          <w:color w:val="000000" w:themeColor="text1"/>
          <w:sz w:val="21"/>
        </w:rPr>
      </w:pPr>
      <w:r w:rsidRPr="004817FA">
        <w:rPr>
          <w:rFonts w:cs="Arial"/>
          <w:color w:val="000000" w:themeColor="text1"/>
          <w:sz w:val="21"/>
        </w:rPr>
        <w:t>Customs (Prohibited Imports) Regulations 1956</w:t>
      </w:r>
    </w:p>
    <w:p w14:paraId="76983CA5" w14:textId="3481C836" w:rsidR="00EC4015" w:rsidRPr="0070161C" w:rsidRDefault="008E046A" w:rsidP="0070161C">
      <w:pPr>
        <w:pStyle w:val="ListParagraph"/>
        <w:numPr>
          <w:ilvl w:val="0"/>
          <w:numId w:val="30"/>
        </w:numPr>
        <w:shd w:val="clear" w:color="auto" w:fill="FFFFFF"/>
        <w:spacing w:beforeLines="60" w:before="144" w:afterLines="60" w:after="144"/>
        <w:rPr>
          <w:rFonts w:cs="Arial"/>
          <w:color w:val="000000" w:themeColor="text1"/>
          <w:sz w:val="21"/>
        </w:rPr>
      </w:pPr>
      <w:r w:rsidRPr="004817FA">
        <w:rPr>
          <w:rFonts w:cs="Arial"/>
          <w:color w:val="000000" w:themeColor="text1"/>
          <w:sz w:val="21"/>
        </w:rPr>
        <w:t>Customs (Prohibited Exports) Regulations 1958</w:t>
      </w:r>
    </w:p>
    <w:p w14:paraId="0BD67728" w14:textId="7B6F254C" w:rsidR="00285F1D" w:rsidRPr="004817FA" w:rsidRDefault="0072716C" w:rsidP="005C012B">
      <w:pPr>
        <w:shd w:val="clear" w:color="auto" w:fill="FFFFFF"/>
        <w:spacing w:beforeLines="60" w:before="144" w:afterLines="60" w:after="144"/>
        <w:rPr>
          <w:rFonts w:cs="Arial"/>
          <w:color w:val="000000" w:themeColor="text1"/>
          <w:sz w:val="21"/>
          <w:szCs w:val="21"/>
        </w:rPr>
      </w:pPr>
      <w:r w:rsidRPr="004817FA">
        <w:rPr>
          <w:rFonts w:cs="Arial"/>
          <w:color w:val="000000" w:themeColor="text1"/>
          <w:sz w:val="21"/>
        </w:rPr>
        <w:t xml:space="preserve">These </w:t>
      </w:r>
      <w:r w:rsidR="00866B7A" w:rsidRPr="004817FA">
        <w:rPr>
          <w:rFonts w:cs="Arial"/>
          <w:color w:val="000000" w:themeColor="text1"/>
          <w:sz w:val="21"/>
        </w:rPr>
        <w:t xml:space="preserve">domestic legislation and regulations give effect to </w:t>
      </w:r>
      <w:r w:rsidR="00285F1D" w:rsidRPr="004817FA">
        <w:rPr>
          <w:rFonts w:cs="Arial"/>
          <w:color w:val="000000" w:themeColor="text1"/>
          <w:sz w:val="21"/>
        </w:rPr>
        <w:t xml:space="preserve">a number of </w:t>
      </w:r>
      <w:r w:rsidR="00285F1D" w:rsidRPr="004817FA">
        <w:rPr>
          <w:rFonts w:cs="Arial"/>
          <w:color w:val="000000" w:themeColor="text1"/>
          <w:sz w:val="21"/>
          <w:szCs w:val="21"/>
        </w:rPr>
        <w:t>international treatie</w:t>
      </w:r>
      <w:r w:rsidR="00FC6FEF" w:rsidRPr="004817FA">
        <w:rPr>
          <w:rFonts w:cs="Arial"/>
          <w:color w:val="000000" w:themeColor="text1"/>
          <w:sz w:val="21"/>
          <w:szCs w:val="21"/>
        </w:rPr>
        <w:t>s</w:t>
      </w:r>
      <w:r w:rsidRPr="004817FA">
        <w:rPr>
          <w:rFonts w:cs="Arial"/>
          <w:color w:val="000000" w:themeColor="text1"/>
          <w:sz w:val="21"/>
          <w:szCs w:val="21"/>
        </w:rPr>
        <w:t>, including:</w:t>
      </w:r>
    </w:p>
    <w:p w14:paraId="442143F6" w14:textId="4C0121A8" w:rsidR="004E4279" w:rsidRPr="004817FA" w:rsidRDefault="004E4279" w:rsidP="005C012B">
      <w:pPr>
        <w:pStyle w:val="ListParagraph"/>
        <w:numPr>
          <w:ilvl w:val="0"/>
          <w:numId w:val="29"/>
        </w:numPr>
        <w:shd w:val="clear" w:color="auto" w:fill="FFFFFF"/>
        <w:spacing w:beforeLines="60" w:before="144" w:afterLines="60" w:after="144"/>
        <w:rPr>
          <w:rFonts w:cs="Arial"/>
          <w:sz w:val="21"/>
          <w:szCs w:val="21"/>
        </w:rPr>
      </w:pPr>
      <w:r w:rsidRPr="004817FA">
        <w:rPr>
          <w:rFonts w:cs="Arial"/>
          <w:sz w:val="21"/>
          <w:szCs w:val="21"/>
        </w:rPr>
        <w:t>Single Convention of Narcotic Drugs 1961</w:t>
      </w:r>
      <w:r w:rsidR="008E046A" w:rsidRPr="004817FA">
        <w:rPr>
          <w:rFonts w:cs="Arial"/>
          <w:sz w:val="21"/>
          <w:szCs w:val="21"/>
        </w:rPr>
        <w:t>, as amended by the 1972 protocol</w:t>
      </w:r>
      <w:r w:rsidRPr="004817FA">
        <w:rPr>
          <w:rFonts w:cs="Arial"/>
          <w:sz w:val="21"/>
          <w:szCs w:val="21"/>
        </w:rPr>
        <w:t xml:space="preserve"> (the Single Convention);</w:t>
      </w:r>
    </w:p>
    <w:p w14:paraId="1FBF1E07" w14:textId="7430BDC0" w:rsidR="004E4279" w:rsidRPr="004817FA" w:rsidRDefault="004E4279" w:rsidP="005C012B">
      <w:pPr>
        <w:pStyle w:val="ListParagraph"/>
        <w:numPr>
          <w:ilvl w:val="0"/>
          <w:numId w:val="29"/>
        </w:numPr>
        <w:shd w:val="clear" w:color="auto" w:fill="FFFFFF"/>
        <w:spacing w:beforeLines="60" w:before="144" w:afterLines="60" w:after="144"/>
        <w:rPr>
          <w:rFonts w:cs="Arial"/>
          <w:color w:val="000000" w:themeColor="text1"/>
          <w:sz w:val="21"/>
          <w:szCs w:val="21"/>
        </w:rPr>
      </w:pPr>
      <w:r w:rsidRPr="004817FA">
        <w:rPr>
          <w:rFonts w:cs="Arial"/>
          <w:color w:val="000000" w:themeColor="text1"/>
          <w:sz w:val="21"/>
          <w:szCs w:val="21"/>
        </w:rPr>
        <w:t>Convention on Psychotropic Substances 1971</w:t>
      </w:r>
      <w:r w:rsidR="0072716C" w:rsidRPr="004817FA">
        <w:rPr>
          <w:rFonts w:cs="Arial"/>
          <w:color w:val="000000" w:themeColor="text1"/>
          <w:sz w:val="21"/>
          <w:szCs w:val="21"/>
        </w:rPr>
        <w:t>; and</w:t>
      </w:r>
    </w:p>
    <w:p w14:paraId="03B2609B" w14:textId="0CEC6404" w:rsidR="004E4279" w:rsidRPr="004817FA" w:rsidRDefault="004E4279" w:rsidP="005C012B">
      <w:pPr>
        <w:pStyle w:val="ListParagraph"/>
        <w:numPr>
          <w:ilvl w:val="0"/>
          <w:numId w:val="29"/>
        </w:numPr>
        <w:shd w:val="clear" w:color="auto" w:fill="FFFFFF"/>
        <w:spacing w:beforeLines="60" w:before="144" w:afterLines="60" w:after="144"/>
        <w:rPr>
          <w:rFonts w:cs="Arial"/>
          <w:color w:val="000000" w:themeColor="text1"/>
          <w:sz w:val="21"/>
          <w:szCs w:val="21"/>
        </w:rPr>
      </w:pPr>
      <w:r w:rsidRPr="004817FA">
        <w:rPr>
          <w:rFonts w:cs="Arial"/>
          <w:color w:val="000000" w:themeColor="text1"/>
          <w:sz w:val="21"/>
          <w:szCs w:val="21"/>
        </w:rPr>
        <w:t>United Nations Convention against illicit traffic in Narcotic Drugs and Psychotropic Substances of 1988</w:t>
      </w:r>
      <w:r w:rsidR="0072716C" w:rsidRPr="004817FA">
        <w:rPr>
          <w:rFonts w:cs="Arial"/>
          <w:color w:val="000000" w:themeColor="text1"/>
          <w:sz w:val="21"/>
          <w:szCs w:val="21"/>
        </w:rPr>
        <w:t>.</w:t>
      </w:r>
    </w:p>
    <w:p w14:paraId="596D0A43" w14:textId="3422B344" w:rsidR="00335A9E" w:rsidRPr="00E71147" w:rsidRDefault="00335A9E" w:rsidP="00335A9E">
      <w:pPr>
        <w:pStyle w:val="Heading1"/>
      </w:pPr>
      <w:r w:rsidRPr="00E71147">
        <w:t>Principles</w:t>
      </w:r>
    </w:p>
    <w:p w14:paraId="5E0024D2" w14:textId="77777777" w:rsidR="00490A3B" w:rsidRPr="00EC465C" w:rsidRDefault="00490A3B" w:rsidP="00490655">
      <w:pPr>
        <w:pStyle w:val="Heading1"/>
        <w:spacing w:before="60"/>
        <w:rPr>
          <w:rFonts w:cs="Times New Roman"/>
          <w:bCs w:val="0"/>
          <w:color w:val="000000" w:themeColor="text1"/>
          <w:kern w:val="0"/>
          <w:sz w:val="21"/>
          <w:szCs w:val="21"/>
        </w:rPr>
      </w:pPr>
      <w:r w:rsidRPr="00EC465C">
        <w:rPr>
          <w:rFonts w:cs="Times New Roman"/>
          <w:bCs w:val="0"/>
          <w:color w:val="000000" w:themeColor="text1"/>
          <w:kern w:val="0"/>
          <w:sz w:val="21"/>
          <w:szCs w:val="21"/>
        </w:rPr>
        <w:t>As an Australian Government regulator we adhere to the following principles:</w:t>
      </w:r>
    </w:p>
    <w:p w14:paraId="4691866C" w14:textId="6B0FB844" w:rsidR="00490A3B" w:rsidRPr="00EC465C" w:rsidRDefault="00490A3B" w:rsidP="00490655">
      <w:pPr>
        <w:pStyle w:val="ListBullet"/>
        <w:rPr>
          <w:szCs w:val="21"/>
        </w:rPr>
      </w:pPr>
      <w:r w:rsidRPr="00EC465C">
        <w:rPr>
          <w:szCs w:val="21"/>
        </w:rPr>
        <w:t>we are committed to maintaining the trust and confidence of the Australian public</w:t>
      </w:r>
    </w:p>
    <w:p w14:paraId="57DEB9EB" w14:textId="71EA8F30" w:rsidR="00490A3B" w:rsidRPr="00EC465C" w:rsidRDefault="00490A3B" w:rsidP="00490655">
      <w:pPr>
        <w:pStyle w:val="ListBullet"/>
        <w:rPr>
          <w:szCs w:val="21"/>
        </w:rPr>
      </w:pPr>
      <w:r w:rsidRPr="00EC465C">
        <w:rPr>
          <w:szCs w:val="21"/>
        </w:rPr>
        <w:t>we are accountable to the government and the Australian public</w:t>
      </w:r>
      <w:r w:rsidR="00A44D08">
        <w:rPr>
          <w:szCs w:val="21"/>
        </w:rPr>
        <w:t>,</w:t>
      </w:r>
      <w:r w:rsidRPr="00EC465C">
        <w:rPr>
          <w:szCs w:val="21"/>
        </w:rPr>
        <w:t xml:space="preserve"> and work cooperatively with the industry we regulate</w:t>
      </w:r>
    </w:p>
    <w:p w14:paraId="168F60AA" w14:textId="3F434F25" w:rsidR="00490A3B" w:rsidRPr="00EC465C" w:rsidRDefault="00490A3B" w:rsidP="00490655">
      <w:pPr>
        <w:pStyle w:val="ListBullet"/>
        <w:rPr>
          <w:szCs w:val="21"/>
        </w:rPr>
      </w:pPr>
      <w:r w:rsidRPr="00EC465C">
        <w:rPr>
          <w:szCs w:val="21"/>
        </w:rPr>
        <w:t>we communicate meaningfully with stakeholders including consumers, providing transparency across our regulatory practice</w:t>
      </w:r>
    </w:p>
    <w:p w14:paraId="157C09A4" w14:textId="714B58F0" w:rsidR="00490A3B" w:rsidRPr="00EC465C" w:rsidRDefault="00490A3B" w:rsidP="00490655">
      <w:pPr>
        <w:pStyle w:val="ListBullet"/>
        <w:rPr>
          <w:szCs w:val="21"/>
        </w:rPr>
      </w:pPr>
      <w:r w:rsidRPr="00EC465C">
        <w:rPr>
          <w:szCs w:val="21"/>
        </w:rPr>
        <w:t>we assess evidence in making decisions and recognise the value of taking a risk-based approach to regulatory, compliance and enforcement activity</w:t>
      </w:r>
    </w:p>
    <w:p w14:paraId="4615540A" w14:textId="4E8420E5" w:rsidR="00490A3B" w:rsidRPr="00EC465C" w:rsidRDefault="00490A3B" w:rsidP="00490655">
      <w:pPr>
        <w:pStyle w:val="ListBullet"/>
        <w:rPr>
          <w:bCs/>
          <w:szCs w:val="21"/>
        </w:rPr>
      </w:pPr>
      <w:r w:rsidRPr="00EC465C">
        <w:rPr>
          <w:szCs w:val="21"/>
        </w:rPr>
        <w:t xml:space="preserve">we perform our functions consistently to ensure predictable outcomes in </w:t>
      </w:r>
      <w:r w:rsidR="00A44D08">
        <w:rPr>
          <w:szCs w:val="21"/>
        </w:rPr>
        <w:t xml:space="preserve">similar </w:t>
      </w:r>
      <w:r w:rsidRPr="00EC465C">
        <w:rPr>
          <w:szCs w:val="21"/>
        </w:rPr>
        <w:t>decisions.</w:t>
      </w:r>
    </w:p>
    <w:p w14:paraId="7A9BA5B3" w14:textId="3386C0D5" w:rsidR="006C4B30" w:rsidRPr="00E71147" w:rsidRDefault="006C4B30" w:rsidP="006C4B30">
      <w:pPr>
        <w:pStyle w:val="Heading1"/>
      </w:pPr>
      <w:r>
        <w:t>Operati</w:t>
      </w:r>
      <w:r w:rsidR="004817FA">
        <w:t>ng</w:t>
      </w:r>
      <w:r>
        <w:t xml:space="preserve"> environment</w:t>
      </w:r>
    </w:p>
    <w:p w14:paraId="567F4BF7" w14:textId="24C77D15" w:rsidR="005C012B" w:rsidRPr="007D7208" w:rsidRDefault="004817FA" w:rsidP="00490655">
      <w:pPr>
        <w:spacing w:beforeLines="60" w:before="144" w:afterLines="60" w:after="144"/>
        <w:rPr>
          <w:rFonts w:cs="Arial"/>
          <w:sz w:val="21"/>
          <w:szCs w:val="21"/>
        </w:rPr>
      </w:pPr>
      <w:r w:rsidRPr="007D7208">
        <w:rPr>
          <w:rFonts w:cs="Arial"/>
          <w:sz w:val="21"/>
          <w:szCs w:val="21"/>
        </w:rPr>
        <w:t>As a signatory to international drug conventions, Australia is committed to complying with the obligations within them, including in relation to the import, export and reporting of internationally controlled drugs and precursor chemicals, the manufacture of narcotics drugs, and acting as the single designated agency to licence and control cannabis cultivation. The purpose of the drug conventions is to provide an international framework that recognises the medicinal value of narcotic and psychotropic drugs and ensures that these drugs are available for legitimate purposes.</w:t>
      </w:r>
    </w:p>
    <w:p w14:paraId="597ED4B9" w14:textId="2F6EEF16" w:rsidR="004817FA" w:rsidRPr="007D7208" w:rsidRDefault="004817FA" w:rsidP="00490655">
      <w:pPr>
        <w:pStyle w:val="Paragraphtext"/>
        <w:spacing w:beforeLines="60" w:before="144" w:afterLines="60" w:after="144"/>
        <w:rPr>
          <w:rFonts w:cs="Arial"/>
          <w:szCs w:val="21"/>
        </w:rPr>
      </w:pPr>
      <w:r w:rsidRPr="007D7208">
        <w:rPr>
          <w:rFonts w:cs="Arial"/>
          <w:szCs w:val="21"/>
        </w:rPr>
        <w:t>As part of ensuring Australia meets its international obligations, the ODC works in partnership with other Commonwealth state and territory government agencies, including law enforcement agencies at all levels. These relationships aim to maintain the integrity of the regulation of controlled drugs nationally, while increasing consistency, minimising complexity, and resolving cross-jurisdictional issues to the extent possible.</w:t>
      </w:r>
    </w:p>
    <w:p w14:paraId="71B39266" w14:textId="63567457" w:rsidR="004817FA" w:rsidRPr="00FF4EB9" w:rsidRDefault="004817FA" w:rsidP="00490655">
      <w:pPr>
        <w:spacing w:beforeLines="60" w:before="144" w:afterLines="60" w:after="144"/>
        <w:rPr>
          <w:rFonts w:cs="Arial"/>
          <w:sz w:val="21"/>
          <w:szCs w:val="21"/>
        </w:rPr>
      </w:pPr>
      <w:r w:rsidRPr="00FF4EB9">
        <w:rPr>
          <w:rFonts w:cs="Arial"/>
          <w:sz w:val="21"/>
          <w:szCs w:val="21"/>
        </w:rPr>
        <w:t xml:space="preserve">Our challenge is to ensure that regulation is appropriate to manage risk </w:t>
      </w:r>
      <w:r w:rsidR="007D7208" w:rsidRPr="00FF4EB9">
        <w:rPr>
          <w:rFonts w:cs="Arial"/>
          <w:sz w:val="21"/>
          <w:szCs w:val="21"/>
        </w:rPr>
        <w:t xml:space="preserve">while not unnecessarily impeding the operations of the entities that we regulate. </w:t>
      </w:r>
      <w:r w:rsidR="00A44D08">
        <w:rPr>
          <w:rFonts w:cs="Arial"/>
          <w:sz w:val="21"/>
          <w:szCs w:val="21"/>
        </w:rPr>
        <w:t>O</w:t>
      </w:r>
      <w:r w:rsidRPr="00FF4EB9">
        <w:rPr>
          <w:rFonts w:cs="Arial"/>
          <w:sz w:val="21"/>
          <w:szCs w:val="21"/>
        </w:rPr>
        <w:t xml:space="preserve">ur compliance and enforcement </w:t>
      </w:r>
      <w:r w:rsidRPr="00FF4EB9">
        <w:rPr>
          <w:rFonts w:cs="Arial"/>
          <w:sz w:val="21"/>
          <w:szCs w:val="21"/>
        </w:rPr>
        <w:lastRenderedPageBreak/>
        <w:t xml:space="preserve">responses will remain proportionate to the risk posed </w:t>
      </w:r>
      <w:r w:rsidR="007D7208" w:rsidRPr="00FF4EB9">
        <w:rPr>
          <w:rFonts w:cs="Arial"/>
          <w:sz w:val="21"/>
          <w:szCs w:val="21"/>
        </w:rPr>
        <w:t>to</w:t>
      </w:r>
      <w:r w:rsidRPr="00FF4EB9">
        <w:rPr>
          <w:rFonts w:cs="Arial"/>
          <w:sz w:val="21"/>
          <w:szCs w:val="21"/>
        </w:rPr>
        <w:t xml:space="preserve"> maintain</w:t>
      </w:r>
      <w:r w:rsidR="00C87CB8">
        <w:rPr>
          <w:rFonts w:cs="Arial"/>
          <w:sz w:val="21"/>
          <w:szCs w:val="21"/>
        </w:rPr>
        <w:t>ing</w:t>
      </w:r>
      <w:r w:rsidRPr="00FF4EB9">
        <w:rPr>
          <w:rFonts w:cs="Arial"/>
          <w:sz w:val="21"/>
          <w:szCs w:val="21"/>
        </w:rPr>
        <w:t xml:space="preserve"> the integrity of the regulatory framework. The ODC is committed to enhancing its stakeholder engagement and education activities, including in response to emerging issues and trends, and to assist businesses to comply with </w:t>
      </w:r>
      <w:r w:rsidR="007D7208" w:rsidRPr="00FF4EB9">
        <w:rPr>
          <w:rFonts w:cs="Arial"/>
          <w:sz w:val="21"/>
          <w:szCs w:val="21"/>
        </w:rPr>
        <w:t xml:space="preserve">their </w:t>
      </w:r>
      <w:r w:rsidRPr="00FF4EB9">
        <w:rPr>
          <w:rFonts w:cs="Arial"/>
          <w:sz w:val="21"/>
          <w:szCs w:val="21"/>
        </w:rPr>
        <w:t>regulatory requirements.</w:t>
      </w:r>
    </w:p>
    <w:p w14:paraId="1104410D" w14:textId="4DD6E713" w:rsidR="004817FA" w:rsidRPr="00FF4EB9" w:rsidRDefault="004817FA" w:rsidP="00490655">
      <w:pPr>
        <w:pStyle w:val="Paragraphtext"/>
        <w:spacing w:beforeLines="60" w:before="144" w:afterLines="60" w:after="144"/>
        <w:rPr>
          <w:rFonts w:cs="Arial"/>
          <w:szCs w:val="21"/>
        </w:rPr>
      </w:pPr>
      <w:r w:rsidRPr="00FF4EB9">
        <w:rPr>
          <w:rFonts w:cs="Arial"/>
          <w:szCs w:val="21"/>
        </w:rPr>
        <w:t xml:space="preserve">The </w:t>
      </w:r>
      <w:r w:rsidR="007D7208" w:rsidRPr="00FF4EB9">
        <w:rPr>
          <w:rFonts w:cs="Arial"/>
          <w:szCs w:val="21"/>
        </w:rPr>
        <w:t xml:space="preserve">activities of the </w:t>
      </w:r>
      <w:r w:rsidRPr="00FF4EB9">
        <w:rPr>
          <w:rFonts w:cs="Arial"/>
          <w:szCs w:val="21"/>
        </w:rPr>
        <w:t xml:space="preserve">ODC </w:t>
      </w:r>
      <w:r w:rsidR="007D7208" w:rsidRPr="00FF4EB9">
        <w:rPr>
          <w:rFonts w:cs="Arial"/>
          <w:szCs w:val="21"/>
        </w:rPr>
        <w:t>are</w:t>
      </w:r>
      <w:r w:rsidRPr="00FF4EB9">
        <w:rPr>
          <w:rFonts w:cs="Arial"/>
          <w:szCs w:val="21"/>
        </w:rPr>
        <w:t xml:space="preserve"> supported </w:t>
      </w:r>
      <w:r w:rsidR="007D7208" w:rsidRPr="00FF4EB9">
        <w:rPr>
          <w:rFonts w:cs="Arial"/>
          <w:szCs w:val="21"/>
        </w:rPr>
        <w:t xml:space="preserve">through </w:t>
      </w:r>
      <w:r w:rsidRPr="00FF4EB9">
        <w:rPr>
          <w:rFonts w:cs="Arial"/>
          <w:szCs w:val="21"/>
        </w:rPr>
        <w:t xml:space="preserve">industry </w:t>
      </w:r>
      <w:r w:rsidR="007D7208" w:rsidRPr="00FF4EB9">
        <w:rPr>
          <w:rFonts w:cs="Arial"/>
          <w:szCs w:val="21"/>
        </w:rPr>
        <w:t xml:space="preserve">cost recovery </w:t>
      </w:r>
      <w:r w:rsidRPr="00FF4EB9">
        <w:rPr>
          <w:rFonts w:cs="Arial"/>
          <w:szCs w:val="21"/>
        </w:rPr>
        <w:t xml:space="preserve">for its medicinal cannabis activities, and </w:t>
      </w:r>
      <w:r w:rsidR="007D7208" w:rsidRPr="00FF4EB9">
        <w:rPr>
          <w:rFonts w:cs="Arial"/>
          <w:szCs w:val="21"/>
        </w:rPr>
        <w:t>direct Government funding for other activities. We are</w:t>
      </w:r>
      <w:r w:rsidRPr="00FF4EB9">
        <w:rPr>
          <w:rFonts w:cs="Arial"/>
          <w:szCs w:val="21"/>
        </w:rPr>
        <w:t xml:space="preserve"> committed to </w:t>
      </w:r>
      <w:r w:rsidR="00A44D08">
        <w:rPr>
          <w:rFonts w:cs="Arial"/>
          <w:szCs w:val="21"/>
        </w:rPr>
        <w:t xml:space="preserve">regularly </w:t>
      </w:r>
      <w:r w:rsidRPr="00FF4EB9">
        <w:rPr>
          <w:rFonts w:cs="Arial"/>
          <w:szCs w:val="21"/>
        </w:rPr>
        <w:t xml:space="preserve">reviewing </w:t>
      </w:r>
      <w:r w:rsidR="007D7208" w:rsidRPr="00FF4EB9">
        <w:rPr>
          <w:rFonts w:cs="Arial"/>
          <w:szCs w:val="21"/>
        </w:rPr>
        <w:t>our</w:t>
      </w:r>
      <w:r w:rsidRPr="00FF4EB9">
        <w:rPr>
          <w:rFonts w:cs="Arial"/>
          <w:szCs w:val="21"/>
        </w:rPr>
        <w:t xml:space="preserve"> fees and charges</w:t>
      </w:r>
      <w:r w:rsidR="00A44D08">
        <w:rPr>
          <w:rFonts w:cs="Arial"/>
          <w:szCs w:val="21"/>
        </w:rPr>
        <w:t xml:space="preserve"> to enable government decisions on appropriate charging rates</w:t>
      </w:r>
      <w:r w:rsidR="005669C8">
        <w:rPr>
          <w:rFonts w:cs="Arial"/>
          <w:szCs w:val="21"/>
        </w:rPr>
        <w:t xml:space="preserve"> and</w:t>
      </w:r>
      <w:r w:rsidRPr="00FF4EB9">
        <w:rPr>
          <w:rFonts w:cs="Arial"/>
          <w:szCs w:val="21"/>
        </w:rPr>
        <w:t xml:space="preserve"> to ensure consistency with the Australian Government Charging Framework </w:t>
      </w:r>
      <w:r w:rsidR="007D7208" w:rsidRPr="00FF4EB9">
        <w:rPr>
          <w:rFonts w:cs="Arial"/>
          <w:szCs w:val="21"/>
        </w:rPr>
        <w:t>and industry expectations.</w:t>
      </w:r>
    </w:p>
    <w:p w14:paraId="27275641" w14:textId="77777777" w:rsidR="007D7208" w:rsidRPr="00FF4EB9" w:rsidRDefault="007D7208" w:rsidP="00490655">
      <w:pPr>
        <w:spacing w:beforeLines="60" w:before="144" w:afterLines="60" w:after="144"/>
        <w:rPr>
          <w:rFonts w:cs="Arial"/>
          <w:sz w:val="21"/>
          <w:szCs w:val="21"/>
        </w:rPr>
      </w:pPr>
      <w:r w:rsidRPr="00FF4EB9">
        <w:rPr>
          <w:rFonts w:cs="Arial"/>
          <w:sz w:val="21"/>
          <w:szCs w:val="21"/>
        </w:rPr>
        <w:t xml:space="preserve">Across the globe, the COVID-19 pandemic has had an impact on industry and regulators, requiring innovative solutions to address its impacts. We are continuing to engage and support industry by being adaptable and capitalising on advancements in remote communication. </w:t>
      </w:r>
    </w:p>
    <w:p w14:paraId="5D10EA4D" w14:textId="51D029A5" w:rsidR="000E401D" w:rsidRPr="006A3108" w:rsidRDefault="000E401D" w:rsidP="00490655">
      <w:pPr>
        <w:pStyle w:val="Paragraphtext"/>
        <w:spacing w:beforeLines="60" w:before="144" w:afterLines="60" w:after="144"/>
        <w:rPr>
          <w:rFonts w:cs="Arial"/>
          <w:sz w:val="22"/>
          <w:szCs w:val="22"/>
        </w:rPr>
      </w:pPr>
      <w:r w:rsidRPr="00FF4EB9">
        <w:t>We will continue to support Australia’s obligations and provide leadership</w:t>
      </w:r>
      <w:r w:rsidR="00FF4EB9">
        <w:t>,</w:t>
      </w:r>
      <w:r w:rsidRPr="00FF4EB9">
        <w:t xml:space="preserve"> </w:t>
      </w:r>
      <w:r w:rsidR="00FF4EB9">
        <w:t xml:space="preserve">both domestically and </w:t>
      </w:r>
      <w:r w:rsidRPr="00FF4EB9">
        <w:t>internationally</w:t>
      </w:r>
      <w:r w:rsidR="00FF4EB9">
        <w:t>,</w:t>
      </w:r>
      <w:r w:rsidRPr="00FF4EB9">
        <w:t xml:space="preserve"> in relation to narcotic drugs regulation.</w:t>
      </w:r>
    </w:p>
    <w:p w14:paraId="07AF2132" w14:textId="7B36CD5E" w:rsidR="00335A9E" w:rsidRPr="00E71147" w:rsidRDefault="009C45E4" w:rsidP="0044048A">
      <w:pPr>
        <w:pStyle w:val="Heading1"/>
      </w:pPr>
      <w:r>
        <w:br w:type="page"/>
      </w:r>
      <w:r w:rsidR="00335A9E" w:rsidRPr="00E71147">
        <w:lastRenderedPageBreak/>
        <w:t>Priorities</w:t>
      </w:r>
    </w:p>
    <w:p w14:paraId="29336486" w14:textId="4EE790FF" w:rsidR="002F5084" w:rsidRPr="00EC465C" w:rsidRDefault="00DE438E" w:rsidP="00490655">
      <w:pPr>
        <w:pStyle w:val="Paragraphtext"/>
        <w:spacing w:before="60"/>
        <w:rPr>
          <w:szCs w:val="21"/>
        </w:rPr>
      </w:pPr>
      <w:r w:rsidRPr="00EC465C">
        <w:rPr>
          <w:szCs w:val="21"/>
        </w:rPr>
        <w:t xml:space="preserve">Over the </w:t>
      </w:r>
      <w:r w:rsidR="003F27D2" w:rsidRPr="00EC465C">
        <w:rPr>
          <w:szCs w:val="21"/>
        </w:rPr>
        <w:t>January-</w:t>
      </w:r>
      <w:r w:rsidR="00DB53FF" w:rsidRPr="00EC465C">
        <w:rPr>
          <w:szCs w:val="21"/>
        </w:rPr>
        <w:t xml:space="preserve">June </w:t>
      </w:r>
      <w:r w:rsidR="003F27D2" w:rsidRPr="00EC465C">
        <w:rPr>
          <w:szCs w:val="21"/>
        </w:rPr>
        <w:t>2022</w:t>
      </w:r>
      <w:r w:rsidRPr="00EC465C">
        <w:rPr>
          <w:szCs w:val="21"/>
        </w:rPr>
        <w:t xml:space="preserve"> period</w:t>
      </w:r>
      <w:r w:rsidR="003F27D2" w:rsidRPr="00EC465C">
        <w:rPr>
          <w:szCs w:val="21"/>
        </w:rPr>
        <w:t>, the ODC will be focusing on the following priorities</w:t>
      </w:r>
      <w:r w:rsidR="00191E31" w:rsidRPr="00EC465C">
        <w:rPr>
          <w:szCs w:val="21"/>
        </w:rPr>
        <w:t>:</w:t>
      </w:r>
    </w:p>
    <w:p w14:paraId="4EAABCCC" w14:textId="7CA018BC" w:rsidR="00182926" w:rsidRPr="00EC465C" w:rsidRDefault="00C87CB8" w:rsidP="00EC465C">
      <w:pPr>
        <w:pStyle w:val="Heading2"/>
        <w:spacing w:before="60"/>
        <w:rPr>
          <w:sz w:val="26"/>
          <w:szCs w:val="26"/>
        </w:rPr>
      </w:pPr>
      <w:r w:rsidRPr="00EC465C">
        <w:rPr>
          <w:sz w:val="26"/>
          <w:szCs w:val="26"/>
        </w:rPr>
        <w:t xml:space="preserve">Engagement and </w:t>
      </w:r>
      <w:r w:rsidR="00182926" w:rsidRPr="00EC465C">
        <w:rPr>
          <w:sz w:val="26"/>
          <w:szCs w:val="26"/>
        </w:rPr>
        <w:t>Collaboration</w:t>
      </w:r>
    </w:p>
    <w:p w14:paraId="7163B040" w14:textId="033D3C4D" w:rsidR="009F3FD7" w:rsidRPr="00490655" w:rsidRDefault="00742FE9" w:rsidP="00490655">
      <w:pPr>
        <w:pStyle w:val="ListBullet"/>
        <w:numPr>
          <w:ilvl w:val="1"/>
          <w:numId w:val="17"/>
        </w:numPr>
        <w:ind w:left="850" w:hanging="357"/>
        <w:rPr>
          <w:szCs w:val="21"/>
        </w:rPr>
      </w:pPr>
      <w:r w:rsidRPr="00490655">
        <w:rPr>
          <w:szCs w:val="21"/>
        </w:rPr>
        <w:t xml:space="preserve">Increase engagement with </w:t>
      </w:r>
      <w:r w:rsidR="00DC0727" w:rsidRPr="00490655">
        <w:rPr>
          <w:szCs w:val="21"/>
        </w:rPr>
        <w:t>stakeholders</w:t>
      </w:r>
      <w:r w:rsidR="00A4411C" w:rsidRPr="00490655">
        <w:rPr>
          <w:szCs w:val="21"/>
        </w:rPr>
        <w:t>, including</w:t>
      </w:r>
      <w:r w:rsidRPr="00490655">
        <w:rPr>
          <w:szCs w:val="21"/>
        </w:rPr>
        <w:t xml:space="preserve"> through regular meetings with industry representatives</w:t>
      </w:r>
      <w:r w:rsidR="00E7627A" w:rsidRPr="00490655">
        <w:rPr>
          <w:szCs w:val="21"/>
        </w:rPr>
        <w:t xml:space="preserve">, </w:t>
      </w:r>
      <w:r w:rsidRPr="00490655">
        <w:rPr>
          <w:szCs w:val="21"/>
        </w:rPr>
        <w:t>information sessions and workshops</w:t>
      </w:r>
      <w:r w:rsidR="00A4411C" w:rsidRPr="00490655">
        <w:rPr>
          <w:szCs w:val="21"/>
        </w:rPr>
        <w:t>,</w:t>
      </w:r>
      <w:r w:rsidRPr="00490655">
        <w:rPr>
          <w:szCs w:val="21"/>
        </w:rPr>
        <w:t xml:space="preserve"> </w:t>
      </w:r>
      <w:r w:rsidR="00E7627A" w:rsidRPr="00490655">
        <w:rPr>
          <w:szCs w:val="21"/>
        </w:rPr>
        <w:t xml:space="preserve">and attendance at industry conferences </w:t>
      </w:r>
      <w:r w:rsidRPr="00490655">
        <w:rPr>
          <w:szCs w:val="21"/>
        </w:rPr>
        <w:t>to</w:t>
      </w:r>
      <w:r w:rsidR="00A4411C" w:rsidRPr="00490655">
        <w:rPr>
          <w:szCs w:val="21"/>
        </w:rPr>
        <w:t xml:space="preserve"> </w:t>
      </w:r>
      <w:r w:rsidR="00E7627A" w:rsidRPr="00490655">
        <w:rPr>
          <w:szCs w:val="21"/>
        </w:rPr>
        <w:t xml:space="preserve">facilitate </w:t>
      </w:r>
      <w:r w:rsidR="00A4411C" w:rsidRPr="00490655">
        <w:rPr>
          <w:szCs w:val="21"/>
        </w:rPr>
        <w:t xml:space="preserve">better communication between the ODC and </w:t>
      </w:r>
      <w:r w:rsidR="00E7627A" w:rsidRPr="00490655">
        <w:rPr>
          <w:szCs w:val="21"/>
        </w:rPr>
        <w:t xml:space="preserve">our </w:t>
      </w:r>
      <w:r w:rsidR="00A4411C" w:rsidRPr="00490655">
        <w:rPr>
          <w:szCs w:val="21"/>
        </w:rPr>
        <w:t>stakeholders</w:t>
      </w:r>
      <w:r w:rsidRPr="00490655">
        <w:rPr>
          <w:szCs w:val="21"/>
        </w:rPr>
        <w:t>.</w:t>
      </w:r>
    </w:p>
    <w:p w14:paraId="00371C84" w14:textId="00718072" w:rsidR="00182926" w:rsidRPr="00490655" w:rsidRDefault="00182926" w:rsidP="00490655">
      <w:pPr>
        <w:pStyle w:val="ListBullet"/>
        <w:numPr>
          <w:ilvl w:val="1"/>
          <w:numId w:val="17"/>
        </w:numPr>
        <w:ind w:left="850" w:hanging="357"/>
        <w:rPr>
          <w:szCs w:val="21"/>
        </w:rPr>
      </w:pPr>
      <w:r w:rsidRPr="00490655">
        <w:rPr>
          <w:szCs w:val="21"/>
        </w:rPr>
        <w:t xml:space="preserve">Enhance collaboration and strategic engagement with relevant Commonwealth, </w:t>
      </w:r>
      <w:r w:rsidR="00920CE9">
        <w:rPr>
          <w:szCs w:val="21"/>
        </w:rPr>
        <w:t>s</w:t>
      </w:r>
      <w:r w:rsidRPr="00490655">
        <w:rPr>
          <w:szCs w:val="21"/>
        </w:rPr>
        <w:t xml:space="preserve">tate and </w:t>
      </w:r>
      <w:r w:rsidR="00920CE9">
        <w:rPr>
          <w:szCs w:val="21"/>
        </w:rPr>
        <w:t>t</w:t>
      </w:r>
      <w:r w:rsidRPr="00490655">
        <w:rPr>
          <w:szCs w:val="21"/>
        </w:rPr>
        <w:t>erritory agencies on regulatory issues of common interest</w:t>
      </w:r>
      <w:r w:rsidR="00DC0727" w:rsidRPr="00490655">
        <w:rPr>
          <w:szCs w:val="21"/>
        </w:rPr>
        <w:t>.</w:t>
      </w:r>
    </w:p>
    <w:p w14:paraId="50608DB2" w14:textId="778315BC" w:rsidR="006C4B30" w:rsidRPr="00490655" w:rsidRDefault="006C4B30" w:rsidP="00490655">
      <w:pPr>
        <w:pStyle w:val="ListBullet"/>
        <w:numPr>
          <w:ilvl w:val="1"/>
          <w:numId w:val="17"/>
        </w:numPr>
        <w:ind w:left="850" w:hanging="357"/>
        <w:rPr>
          <w:szCs w:val="21"/>
        </w:rPr>
      </w:pPr>
      <w:r w:rsidRPr="00490655">
        <w:rPr>
          <w:szCs w:val="21"/>
        </w:rPr>
        <w:t xml:space="preserve">Manage our business-as-usual activities with industry including: </w:t>
      </w:r>
      <w:r w:rsidR="00117094" w:rsidRPr="00490655">
        <w:rPr>
          <w:szCs w:val="21"/>
        </w:rPr>
        <w:t>n</w:t>
      </w:r>
      <w:r w:rsidRPr="00490655">
        <w:rPr>
          <w:szCs w:val="21"/>
        </w:rPr>
        <w:t>arcotic manufacturing licences and permits; medicinal cannabis licence and permit activities; and the import and export of controlled drugs and related substances.</w:t>
      </w:r>
    </w:p>
    <w:p w14:paraId="2FC57DA0" w14:textId="77777777" w:rsidR="00EF44ED" w:rsidRPr="00EC465C" w:rsidRDefault="00EF44ED" w:rsidP="00EC465C">
      <w:pPr>
        <w:pStyle w:val="Heading2"/>
        <w:spacing w:before="60"/>
        <w:rPr>
          <w:sz w:val="26"/>
          <w:szCs w:val="26"/>
        </w:rPr>
      </w:pPr>
      <w:r w:rsidRPr="00EC465C">
        <w:rPr>
          <w:sz w:val="26"/>
          <w:szCs w:val="26"/>
        </w:rPr>
        <w:t>International obligations</w:t>
      </w:r>
    </w:p>
    <w:p w14:paraId="4671242A" w14:textId="4CAA5620" w:rsidR="00EF44ED" w:rsidRPr="00490655" w:rsidRDefault="002F066C" w:rsidP="00490655">
      <w:pPr>
        <w:pStyle w:val="ListBullet"/>
        <w:numPr>
          <w:ilvl w:val="1"/>
          <w:numId w:val="17"/>
        </w:numPr>
        <w:ind w:left="850" w:hanging="357"/>
        <w:rPr>
          <w:szCs w:val="21"/>
        </w:rPr>
      </w:pPr>
      <w:r w:rsidRPr="00490655">
        <w:rPr>
          <w:szCs w:val="21"/>
        </w:rPr>
        <w:t>Continue to meet our international obligations</w:t>
      </w:r>
      <w:r w:rsidR="00B10471" w:rsidRPr="00490655">
        <w:rPr>
          <w:szCs w:val="21"/>
        </w:rPr>
        <w:t xml:space="preserve"> for the </w:t>
      </w:r>
      <w:r w:rsidR="00D543BE" w:rsidRPr="00490655">
        <w:rPr>
          <w:szCs w:val="21"/>
        </w:rPr>
        <w:t>import, export and manufacture of controlled drugs</w:t>
      </w:r>
      <w:r w:rsidR="003818A6">
        <w:rPr>
          <w:szCs w:val="21"/>
        </w:rPr>
        <w:t xml:space="preserve">, and precursor chemicals, </w:t>
      </w:r>
      <w:r w:rsidR="00B10471" w:rsidRPr="00490655">
        <w:rPr>
          <w:szCs w:val="21"/>
        </w:rPr>
        <w:t xml:space="preserve">and </w:t>
      </w:r>
      <w:r w:rsidR="00117094" w:rsidRPr="00490655">
        <w:rPr>
          <w:szCs w:val="21"/>
        </w:rPr>
        <w:t xml:space="preserve">timeframes for </w:t>
      </w:r>
      <w:r w:rsidR="00D543BE" w:rsidRPr="00490655">
        <w:rPr>
          <w:szCs w:val="21"/>
        </w:rPr>
        <w:t xml:space="preserve">reporting requirements </w:t>
      </w:r>
      <w:r w:rsidRPr="00490655">
        <w:rPr>
          <w:szCs w:val="21"/>
        </w:rPr>
        <w:t>to the International Narcotics Control Board</w:t>
      </w:r>
      <w:r w:rsidR="00EE2BAC" w:rsidRPr="00490655">
        <w:rPr>
          <w:szCs w:val="21"/>
        </w:rPr>
        <w:t xml:space="preserve"> on treaty mandated activities</w:t>
      </w:r>
      <w:r w:rsidRPr="00490655">
        <w:rPr>
          <w:szCs w:val="21"/>
        </w:rPr>
        <w:t>.</w:t>
      </w:r>
    </w:p>
    <w:p w14:paraId="2D66510D" w14:textId="5F3F0B82" w:rsidR="00F27E89" w:rsidRPr="00490655" w:rsidRDefault="00F27E89" w:rsidP="00490655">
      <w:pPr>
        <w:pStyle w:val="ListBullet"/>
        <w:numPr>
          <w:ilvl w:val="1"/>
          <w:numId w:val="17"/>
        </w:numPr>
        <w:ind w:left="850" w:hanging="357"/>
        <w:rPr>
          <w:szCs w:val="21"/>
        </w:rPr>
      </w:pPr>
      <w:r w:rsidRPr="00490655">
        <w:rPr>
          <w:szCs w:val="21"/>
        </w:rPr>
        <w:t>Liaise with international authorities to ensure the smooth trade and resolution of issues under the conventions.</w:t>
      </w:r>
    </w:p>
    <w:p w14:paraId="0B04040C" w14:textId="1C63C4E5" w:rsidR="002F066C" w:rsidRPr="00490655" w:rsidRDefault="002F066C" w:rsidP="00490655">
      <w:pPr>
        <w:pStyle w:val="ListBullet"/>
        <w:numPr>
          <w:ilvl w:val="1"/>
          <w:numId w:val="17"/>
        </w:numPr>
        <w:ind w:left="850" w:hanging="357"/>
        <w:rPr>
          <w:szCs w:val="21"/>
        </w:rPr>
      </w:pPr>
      <w:r w:rsidRPr="00490655">
        <w:rPr>
          <w:szCs w:val="21"/>
        </w:rPr>
        <w:t>Continue to support the</w:t>
      </w:r>
      <w:r w:rsidR="00EC465C">
        <w:rPr>
          <w:szCs w:val="21"/>
        </w:rPr>
        <w:t xml:space="preserve"> Government’s k</w:t>
      </w:r>
      <w:r w:rsidRPr="00490655">
        <w:rPr>
          <w:szCs w:val="21"/>
        </w:rPr>
        <w:t>ava pilot program.</w:t>
      </w:r>
    </w:p>
    <w:p w14:paraId="7E240FFB" w14:textId="77777777" w:rsidR="000F4505" w:rsidRPr="00EC465C" w:rsidRDefault="000F4505" w:rsidP="00EC465C">
      <w:pPr>
        <w:pStyle w:val="Heading2"/>
        <w:spacing w:before="60"/>
        <w:rPr>
          <w:sz w:val="26"/>
          <w:szCs w:val="26"/>
        </w:rPr>
      </w:pPr>
      <w:r w:rsidRPr="00EC465C">
        <w:rPr>
          <w:sz w:val="26"/>
          <w:szCs w:val="26"/>
        </w:rPr>
        <w:t>Transparency</w:t>
      </w:r>
    </w:p>
    <w:p w14:paraId="48860A8B" w14:textId="3DB6E8C9" w:rsidR="000F4505" w:rsidRPr="00490655" w:rsidRDefault="000F4505" w:rsidP="00490655">
      <w:pPr>
        <w:pStyle w:val="ListBullet"/>
        <w:numPr>
          <w:ilvl w:val="1"/>
          <w:numId w:val="17"/>
        </w:numPr>
        <w:ind w:left="850" w:hanging="357"/>
        <w:rPr>
          <w:szCs w:val="21"/>
        </w:rPr>
      </w:pPr>
      <w:r w:rsidRPr="00490655">
        <w:rPr>
          <w:szCs w:val="21"/>
        </w:rPr>
        <w:t>Undertake a review</w:t>
      </w:r>
      <w:r w:rsidR="00A44D08">
        <w:rPr>
          <w:szCs w:val="21"/>
        </w:rPr>
        <w:t xml:space="preserve"> </w:t>
      </w:r>
      <w:r w:rsidR="009A2E06">
        <w:rPr>
          <w:szCs w:val="21"/>
        </w:rPr>
        <w:t>(</w:t>
      </w:r>
      <w:r w:rsidR="00A44D08">
        <w:rPr>
          <w:szCs w:val="21"/>
        </w:rPr>
        <w:t>for Government</w:t>
      </w:r>
      <w:r w:rsidRPr="00490655">
        <w:rPr>
          <w:szCs w:val="21"/>
        </w:rPr>
        <w:t xml:space="preserve"> </w:t>
      </w:r>
      <w:r w:rsidR="009A2E06">
        <w:rPr>
          <w:szCs w:val="21"/>
        </w:rPr>
        <w:t xml:space="preserve">consideration) </w:t>
      </w:r>
      <w:r w:rsidRPr="00490655">
        <w:rPr>
          <w:szCs w:val="21"/>
        </w:rPr>
        <w:t xml:space="preserve">of the ODC’s current cost model following the implementation of the new single licence and related permit reforms. Outcomes of the review will include the </w:t>
      </w:r>
      <w:r w:rsidR="00A44D08">
        <w:rPr>
          <w:szCs w:val="21"/>
        </w:rPr>
        <w:t xml:space="preserve">proposal to implement </w:t>
      </w:r>
      <w:r w:rsidRPr="00490655">
        <w:rPr>
          <w:szCs w:val="21"/>
        </w:rPr>
        <w:t xml:space="preserve">appropriate fees and charges, as well as publishing </w:t>
      </w:r>
      <w:r w:rsidR="0087398D" w:rsidRPr="00490655">
        <w:rPr>
          <w:szCs w:val="21"/>
        </w:rPr>
        <w:t xml:space="preserve">specific </w:t>
      </w:r>
      <w:r w:rsidRPr="00490655">
        <w:rPr>
          <w:szCs w:val="21"/>
        </w:rPr>
        <w:t>service levels for the processing of medicinal cannabis licence and permit applications.</w:t>
      </w:r>
    </w:p>
    <w:p w14:paraId="594F41CC" w14:textId="2D0D34B9" w:rsidR="000F4505" w:rsidRPr="00490655" w:rsidRDefault="000F4505" w:rsidP="00490655">
      <w:pPr>
        <w:pStyle w:val="ListBullet"/>
        <w:numPr>
          <w:ilvl w:val="1"/>
          <w:numId w:val="17"/>
        </w:numPr>
        <w:ind w:left="850" w:hanging="357"/>
        <w:rPr>
          <w:szCs w:val="21"/>
        </w:rPr>
      </w:pPr>
      <w:r w:rsidRPr="00490655">
        <w:rPr>
          <w:szCs w:val="21"/>
        </w:rPr>
        <w:t>Publish the first</w:t>
      </w:r>
      <w:r w:rsidRPr="00490655">
        <w:rPr>
          <w:i/>
          <w:iCs/>
          <w:szCs w:val="21"/>
        </w:rPr>
        <w:t xml:space="preserve"> Compliance and Enforcement Framework</w:t>
      </w:r>
      <w:r w:rsidRPr="00490655">
        <w:rPr>
          <w:szCs w:val="21"/>
        </w:rPr>
        <w:t xml:space="preserve"> document, to provide industry with transparency on ODC’s approach to monitoring and compliance activities.</w:t>
      </w:r>
    </w:p>
    <w:p w14:paraId="509C1E01" w14:textId="6EAC5E8B" w:rsidR="000F4505" w:rsidRPr="00490655" w:rsidRDefault="000F4505" w:rsidP="00490655">
      <w:pPr>
        <w:pStyle w:val="ListBullet"/>
        <w:numPr>
          <w:ilvl w:val="1"/>
          <w:numId w:val="17"/>
        </w:numPr>
        <w:ind w:left="850" w:hanging="357"/>
        <w:rPr>
          <w:szCs w:val="21"/>
        </w:rPr>
      </w:pPr>
      <w:r w:rsidRPr="00490655">
        <w:rPr>
          <w:szCs w:val="21"/>
        </w:rPr>
        <w:t xml:space="preserve">As part of complying with the Government’s new Regulator Performance Guide, the ODC will develop and publish a set of Key Performance Indicators (KPIs) for 2022-23. </w:t>
      </w:r>
      <w:r w:rsidR="00A44D08">
        <w:rPr>
          <w:szCs w:val="21"/>
        </w:rPr>
        <w:t>T</w:t>
      </w:r>
      <w:r w:rsidRPr="00490655">
        <w:rPr>
          <w:szCs w:val="21"/>
        </w:rPr>
        <w:t xml:space="preserve">he ODC will continue </w:t>
      </w:r>
      <w:r w:rsidR="00920CE9">
        <w:rPr>
          <w:szCs w:val="21"/>
        </w:rPr>
        <w:t xml:space="preserve">to </w:t>
      </w:r>
      <w:r w:rsidRPr="00490655">
        <w:rPr>
          <w:szCs w:val="21"/>
        </w:rPr>
        <w:t xml:space="preserve">publish KPIs and </w:t>
      </w:r>
      <w:r w:rsidR="0087398D" w:rsidRPr="00490655">
        <w:rPr>
          <w:szCs w:val="21"/>
        </w:rPr>
        <w:t xml:space="preserve">report </w:t>
      </w:r>
      <w:r w:rsidRPr="00490655">
        <w:rPr>
          <w:szCs w:val="21"/>
        </w:rPr>
        <w:t>on achievements against the</w:t>
      </w:r>
      <w:r w:rsidR="00920CE9">
        <w:rPr>
          <w:szCs w:val="21"/>
        </w:rPr>
        <w:t xml:space="preserve">m </w:t>
      </w:r>
      <w:r w:rsidRPr="00490655">
        <w:rPr>
          <w:szCs w:val="21"/>
        </w:rPr>
        <w:t>annually.</w:t>
      </w:r>
    </w:p>
    <w:p w14:paraId="1037DF9D" w14:textId="65B3E352" w:rsidR="000F4505" w:rsidRPr="00490655" w:rsidRDefault="000F4505" w:rsidP="00490655">
      <w:pPr>
        <w:pStyle w:val="ListBullet"/>
        <w:numPr>
          <w:ilvl w:val="1"/>
          <w:numId w:val="17"/>
        </w:numPr>
        <w:ind w:left="850" w:hanging="357"/>
        <w:rPr>
          <w:szCs w:val="21"/>
        </w:rPr>
      </w:pPr>
      <w:r w:rsidRPr="00490655">
        <w:rPr>
          <w:szCs w:val="21"/>
        </w:rPr>
        <w:t>Publish improved guidance for industry, including clear service level standards and assessment timeframes for all licen</w:t>
      </w:r>
      <w:r w:rsidR="00A44D08">
        <w:rPr>
          <w:szCs w:val="21"/>
        </w:rPr>
        <w:t>c</w:t>
      </w:r>
      <w:r w:rsidRPr="00490655">
        <w:rPr>
          <w:szCs w:val="21"/>
        </w:rPr>
        <w:t>e and permit processes across the ODC.</w:t>
      </w:r>
    </w:p>
    <w:p w14:paraId="4F816819" w14:textId="4CCA7967" w:rsidR="002F5084" w:rsidRPr="00EC465C" w:rsidRDefault="002F5084" w:rsidP="00EC465C">
      <w:pPr>
        <w:pStyle w:val="Heading2"/>
        <w:spacing w:before="60"/>
        <w:rPr>
          <w:sz w:val="26"/>
          <w:szCs w:val="26"/>
        </w:rPr>
      </w:pPr>
      <w:r w:rsidRPr="00EC465C">
        <w:rPr>
          <w:sz w:val="26"/>
          <w:szCs w:val="26"/>
        </w:rPr>
        <w:t>Manage risk</w:t>
      </w:r>
    </w:p>
    <w:p w14:paraId="1F42F129" w14:textId="30165C53" w:rsidR="002F5084" w:rsidRPr="00490655" w:rsidRDefault="002F5084" w:rsidP="00490655">
      <w:pPr>
        <w:pStyle w:val="ListBullet"/>
        <w:numPr>
          <w:ilvl w:val="1"/>
          <w:numId w:val="17"/>
        </w:numPr>
        <w:ind w:left="850" w:hanging="357"/>
        <w:rPr>
          <w:szCs w:val="21"/>
        </w:rPr>
      </w:pPr>
      <w:r w:rsidRPr="00490655">
        <w:rPr>
          <w:szCs w:val="21"/>
        </w:rPr>
        <w:t>Implement a risk</w:t>
      </w:r>
      <w:r w:rsidRPr="00490655">
        <w:rPr>
          <w:szCs w:val="21"/>
        </w:rPr>
        <w:noBreakHyphen/>
        <w:t xml:space="preserve">based </w:t>
      </w:r>
      <w:r w:rsidR="00866B7A" w:rsidRPr="00490655">
        <w:rPr>
          <w:szCs w:val="21"/>
        </w:rPr>
        <w:t xml:space="preserve">approach to regulation and </w:t>
      </w:r>
      <w:r w:rsidRPr="00490655">
        <w:rPr>
          <w:szCs w:val="21"/>
        </w:rPr>
        <w:t>compliance, to ensure that resources are applied to areas of greatest risk or concern. Compliance audit activities will continue to monitor whether entities are complying with relevant legislation, policies and procedures in accordance with their licence conditions.</w:t>
      </w:r>
    </w:p>
    <w:p w14:paraId="32835E73" w14:textId="78D82815" w:rsidR="002F5084" w:rsidRPr="00490655" w:rsidRDefault="002F5084" w:rsidP="00490655">
      <w:pPr>
        <w:pStyle w:val="ListBullet"/>
        <w:numPr>
          <w:ilvl w:val="1"/>
          <w:numId w:val="17"/>
        </w:numPr>
        <w:ind w:left="850" w:hanging="357"/>
        <w:rPr>
          <w:szCs w:val="21"/>
        </w:rPr>
      </w:pPr>
      <w:r w:rsidRPr="00490655">
        <w:rPr>
          <w:szCs w:val="21"/>
        </w:rPr>
        <w:t xml:space="preserve">Continue to undertake planned </w:t>
      </w:r>
      <w:r w:rsidR="00A44D08">
        <w:rPr>
          <w:szCs w:val="21"/>
        </w:rPr>
        <w:t xml:space="preserve">and unannounced </w:t>
      </w:r>
      <w:r w:rsidRPr="00490655">
        <w:rPr>
          <w:szCs w:val="21"/>
        </w:rPr>
        <w:t>inspections</w:t>
      </w:r>
      <w:r w:rsidR="00AB2DEF" w:rsidRPr="00490655">
        <w:rPr>
          <w:szCs w:val="21"/>
        </w:rPr>
        <w:t>, virtually and on-site in line with our risk-based compliance approach.</w:t>
      </w:r>
    </w:p>
    <w:p w14:paraId="5ECC199D" w14:textId="77777777" w:rsidR="004C649F" w:rsidRPr="00EC465C" w:rsidRDefault="004C649F" w:rsidP="00EC465C">
      <w:pPr>
        <w:pStyle w:val="Heading2"/>
        <w:spacing w:before="60"/>
        <w:rPr>
          <w:sz w:val="26"/>
          <w:szCs w:val="26"/>
        </w:rPr>
      </w:pPr>
      <w:r w:rsidRPr="00EC465C">
        <w:rPr>
          <w:sz w:val="26"/>
          <w:szCs w:val="26"/>
        </w:rPr>
        <w:t>Continuous improvement</w:t>
      </w:r>
    </w:p>
    <w:p w14:paraId="21BDE058" w14:textId="41249F20" w:rsidR="006C4B30" w:rsidRPr="00490655" w:rsidRDefault="006C4B30" w:rsidP="00490655">
      <w:pPr>
        <w:pStyle w:val="ListBullet"/>
        <w:numPr>
          <w:ilvl w:val="1"/>
          <w:numId w:val="17"/>
        </w:numPr>
        <w:ind w:left="850" w:hanging="357"/>
        <w:rPr>
          <w:szCs w:val="21"/>
        </w:rPr>
      </w:pPr>
      <w:r w:rsidRPr="00490655">
        <w:rPr>
          <w:szCs w:val="21"/>
        </w:rPr>
        <w:t>Regularly review our procedures and processes to ensure they remai</w:t>
      </w:r>
      <w:r w:rsidR="00DB53FF" w:rsidRPr="00490655">
        <w:rPr>
          <w:szCs w:val="21"/>
        </w:rPr>
        <w:t>n</w:t>
      </w:r>
      <w:r w:rsidRPr="00490655">
        <w:rPr>
          <w:szCs w:val="21"/>
        </w:rPr>
        <w:t xml:space="preserve"> relevant and to identify opportunities for efficiency gains.</w:t>
      </w:r>
    </w:p>
    <w:p w14:paraId="26700977" w14:textId="34F95C67" w:rsidR="004C649F" w:rsidRPr="00490655" w:rsidRDefault="004C649F" w:rsidP="00490655">
      <w:pPr>
        <w:pStyle w:val="ListBullet"/>
        <w:numPr>
          <w:ilvl w:val="1"/>
          <w:numId w:val="17"/>
        </w:numPr>
        <w:ind w:left="850" w:hanging="357"/>
        <w:rPr>
          <w:szCs w:val="21"/>
        </w:rPr>
      </w:pPr>
      <w:r w:rsidRPr="00490655">
        <w:rPr>
          <w:szCs w:val="21"/>
        </w:rPr>
        <w:t xml:space="preserve">Embed </w:t>
      </w:r>
      <w:r w:rsidR="00450C8A" w:rsidRPr="00490655">
        <w:rPr>
          <w:szCs w:val="21"/>
        </w:rPr>
        <w:t xml:space="preserve">reforms </w:t>
      </w:r>
      <w:r w:rsidRPr="00490655">
        <w:rPr>
          <w:szCs w:val="21"/>
        </w:rPr>
        <w:t xml:space="preserve">to medicinal cannabis regulation </w:t>
      </w:r>
      <w:r w:rsidR="00926DF2" w:rsidRPr="00490655">
        <w:rPr>
          <w:szCs w:val="21"/>
        </w:rPr>
        <w:t xml:space="preserve">following </w:t>
      </w:r>
      <w:r w:rsidRPr="00490655">
        <w:rPr>
          <w:szCs w:val="21"/>
        </w:rPr>
        <w:t>the move to a single licence and reformed permit framework</w:t>
      </w:r>
      <w:r w:rsidR="00EF44ED" w:rsidRPr="00490655">
        <w:rPr>
          <w:szCs w:val="21"/>
        </w:rPr>
        <w:t>.</w:t>
      </w:r>
    </w:p>
    <w:p w14:paraId="55D3EF39" w14:textId="5D5AA3B9" w:rsidR="002F5084" w:rsidRPr="00490655" w:rsidRDefault="004C649F" w:rsidP="00490655">
      <w:pPr>
        <w:pStyle w:val="ListBullet"/>
        <w:numPr>
          <w:ilvl w:val="1"/>
          <w:numId w:val="17"/>
        </w:numPr>
        <w:ind w:left="850" w:hanging="357"/>
        <w:rPr>
          <w:szCs w:val="21"/>
        </w:rPr>
      </w:pPr>
      <w:r w:rsidRPr="00490655">
        <w:rPr>
          <w:szCs w:val="21"/>
        </w:rPr>
        <w:t>Undertake a website transformation project to align with whole-of-government hosting and accessibility standards. This will include a full review and update of existing ODC website content, as well as a new and improved look and feel. This work will be competed in the 2022-23 financial year.</w:t>
      </w:r>
    </w:p>
    <w:sectPr w:rsidR="002F5084" w:rsidRPr="00490655" w:rsidSect="00D45D94">
      <w:headerReference w:type="default" r:id="rId12"/>
      <w:footerReference w:type="default" r:id="rId13"/>
      <w:type w:val="continuous"/>
      <w:pgSz w:w="11906" w:h="16838"/>
      <w:pgMar w:top="1701"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5C0F9F" w14:textId="77777777" w:rsidR="00533FC2" w:rsidRDefault="00533FC2" w:rsidP="006B56BB">
      <w:r>
        <w:separator/>
      </w:r>
    </w:p>
    <w:p w14:paraId="01D036C9" w14:textId="77777777" w:rsidR="00533FC2" w:rsidRDefault="00533FC2"/>
  </w:endnote>
  <w:endnote w:type="continuationSeparator" w:id="0">
    <w:p w14:paraId="40A0476D" w14:textId="77777777" w:rsidR="00533FC2" w:rsidRDefault="00533FC2" w:rsidP="006B56BB">
      <w:r>
        <w:continuationSeparator/>
      </w:r>
    </w:p>
    <w:p w14:paraId="5FE101A1" w14:textId="77777777" w:rsidR="00533FC2" w:rsidRDefault="00533FC2"/>
  </w:endnote>
  <w:endnote w:type="continuationNotice" w:id="1">
    <w:p w14:paraId="1A559451" w14:textId="77777777" w:rsidR="00533FC2" w:rsidRDefault="00533F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93240730"/>
      <w:docPartObj>
        <w:docPartGallery w:val="Page Numbers (Bottom of Page)"/>
        <w:docPartUnique/>
      </w:docPartObj>
    </w:sdtPr>
    <w:sdtEndPr>
      <w:rPr>
        <w:noProof/>
      </w:rPr>
    </w:sdtEndPr>
    <w:sdtContent>
      <w:p w14:paraId="3C50E50E" w14:textId="72DC1C9E" w:rsidR="00751A23" w:rsidRPr="001B02F7" w:rsidRDefault="004817FA" w:rsidP="001B02F7">
        <w:pPr>
          <w:pStyle w:val="Footer"/>
          <w:spacing w:after="120"/>
          <w:jc w:val="right"/>
        </w:pPr>
        <w:r>
          <w:fldChar w:fldCharType="begin"/>
        </w:r>
        <w:r>
          <w:instrText xml:space="preserve"> PAGE   \* MERGEFORMAT </w:instrText>
        </w:r>
        <w:r>
          <w:fldChar w:fldCharType="separate"/>
        </w:r>
        <w:r w:rsidR="00920CE9">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4B9870" w14:textId="77777777" w:rsidR="00533FC2" w:rsidRDefault="00533FC2" w:rsidP="006B56BB">
      <w:r>
        <w:separator/>
      </w:r>
    </w:p>
    <w:p w14:paraId="7423EBD5" w14:textId="77777777" w:rsidR="00533FC2" w:rsidRDefault="00533FC2"/>
  </w:footnote>
  <w:footnote w:type="continuationSeparator" w:id="0">
    <w:p w14:paraId="2D9358B1" w14:textId="77777777" w:rsidR="00533FC2" w:rsidRDefault="00533FC2" w:rsidP="006B56BB">
      <w:r>
        <w:continuationSeparator/>
      </w:r>
    </w:p>
    <w:p w14:paraId="08BE36F3" w14:textId="77777777" w:rsidR="00533FC2" w:rsidRDefault="00533FC2"/>
  </w:footnote>
  <w:footnote w:type="continuationNotice" w:id="1">
    <w:p w14:paraId="5D5D1793" w14:textId="77777777" w:rsidR="00533FC2" w:rsidRDefault="00533FC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5B9AA8" w14:textId="77777777" w:rsidR="00751A23" w:rsidRDefault="00751A23">
    <w:pPr>
      <w:pStyle w:val="Header"/>
    </w:pPr>
    <w:r>
      <w:rPr>
        <w:noProof/>
        <w:lang w:eastAsia="en-AU"/>
      </w:rPr>
      <w:drawing>
        <wp:anchor distT="0" distB="0" distL="114300" distR="114300" simplePos="0" relativeHeight="251658240" behindDoc="1" locked="0" layoutInCell="1" allowOverlap="1" wp14:anchorId="1DD54C7E" wp14:editId="1AE44555">
          <wp:simplePos x="0" y="0"/>
          <wp:positionH relativeFrom="page">
            <wp:align>center</wp:align>
          </wp:positionH>
          <wp:positionV relativeFrom="page">
            <wp:align>center</wp:align>
          </wp:positionV>
          <wp:extent cx="7560000" cy="10692675"/>
          <wp:effectExtent l="0" t="0" r="3175" b="0"/>
          <wp:wrapNone/>
          <wp:docPr id="3" name="Picture 3" descr="Australian Government 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4 Cov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267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0253A" w14:textId="77777777" w:rsidR="008E0C77" w:rsidRPr="001B02F7" w:rsidRDefault="008E0C77" w:rsidP="001B02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81F031A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01ECC26"/>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F1E210A8"/>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84A8A6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B93E0866"/>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7D303BC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363506"/>
    <w:multiLevelType w:val="hybridMultilevel"/>
    <w:tmpl w:val="9FEA7CEA"/>
    <w:lvl w:ilvl="0" w:tplc="E96C518A">
      <w:start w:val="1"/>
      <w:numFmt w:val="bullet"/>
      <w:pStyle w:val="ListBullet"/>
      <w:lvlText w:val=""/>
      <w:lvlJc w:val="left"/>
      <w:pPr>
        <w:ind w:left="36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A08606E"/>
    <w:multiLevelType w:val="hybridMultilevel"/>
    <w:tmpl w:val="739207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E3755D1"/>
    <w:multiLevelType w:val="hybridMultilevel"/>
    <w:tmpl w:val="F0C8C6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5" w15:restartNumberingAfterBreak="0">
    <w:nsid w:val="3A836640"/>
    <w:multiLevelType w:val="multilevel"/>
    <w:tmpl w:val="E9561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7" w15:restartNumberingAfterBreak="0">
    <w:nsid w:val="483D0A33"/>
    <w:multiLevelType w:val="hybridMultilevel"/>
    <w:tmpl w:val="08C23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B1C257B"/>
    <w:multiLevelType w:val="hybridMultilevel"/>
    <w:tmpl w:val="56848A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19"/>
  </w:num>
  <w:num w:numId="3">
    <w:abstractNumId w:val="21"/>
  </w:num>
  <w:num w:numId="4">
    <w:abstractNumId w:val="8"/>
  </w:num>
  <w:num w:numId="5">
    <w:abstractNumId w:val="8"/>
    <w:lvlOverride w:ilvl="0">
      <w:startOverride w:val="1"/>
    </w:lvlOverride>
  </w:num>
  <w:num w:numId="6">
    <w:abstractNumId w:val="9"/>
  </w:num>
  <w:num w:numId="7">
    <w:abstractNumId w:val="16"/>
  </w:num>
  <w:num w:numId="8">
    <w:abstractNumId w:val="20"/>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2"/>
  </w:num>
  <w:num w:numId="17">
    <w:abstractNumId w:val="10"/>
  </w:num>
  <w:num w:numId="18">
    <w:abstractNumId w:val="13"/>
  </w:num>
  <w:num w:numId="19">
    <w:abstractNumId w:val="14"/>
  </w:num>
  <w:num w:numId="20">
    <w:abstractNumId w:val="10"/>
  </w:num>
  <w:num w:numId="21">
    <w:abstractNumId w:val="18"/>
  </w:num>
  <w:num w:numId="22">
    <w:abstractNumId w:val="10"/>
  </w:num>
  <w:num w:numId="23">
    <w:abstractNumId w:val="10"/>
  </w:num>
  <w:num w:numId="24">
    <w:abstractNumId w:val="10"/>
  </w:num>
  <w:num w:numId="25">
    <w:abstractNumId w:val="10"/>
  </w:num>
  <w:num w:numId="26">
    <w:abstractNumId w:val="17"/>
  </w:num>
  <w:num w:numId="27">
    <w:abstractNumId w:val="10"/>
  </w:num>
  <w:num w:numId="28">
    <w:abstractNumId w:val="15"/>
  </w:num>
  <w:num w:numId="29">
    <w:abstractNumId w:val="11"/>
  </w:num>
  <w:num w:numId="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6"/>
  <w:proofState w:spelling="clean"/>
  <w:attachedTemplate r:id="rId1"/>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stylePaneSortMethod w:val="0000"/>
  <w:documentProtection w:formatting="1" w:enforcement="0"/>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5A9E"/>
    <w:rsid w:val="00003743"/>
    <w:rsid w:val="000047B4"/>
    <w:rsid w:val="00005712"/>
    <w:rsid w:val="00006713"/>
    <w:rsid w:val="00007FD8"/>
    <w:rsid w:val="000117F8"/>
    <w:rsid w:val="0001734F"/>
    <w:rsid w:val="00026139"/>
    <w:rsid w:val="00027071"/>
    <w:rsid w:val="00027601"/>
    <w:rsid w:val="000324B4"/>
    <w:rsid w:val="00033321"/>
    <w:rsid w:val="000338E5"/>
    <w:rsid w:val="00033ECC"/>
    <w:rsid w:val="0003422F"/>
    <w:rsid w:val="00046FF0"/>
    <w:rsid w:val="00050176"/>
    <w:rsid w:val="00062B65"/>
    <w:rsid w:val="00067456"/>
    <w:rsid w:val="00071506"/>
    <w:rsid w:val="0007154F"/>
    <w:rsid w:val="00081AB1"/>
    <w:rsid w:val="00090316"/>
    <w:rsid w:val="00093981"/>
    <w:rsid w:val="00093CD9"/>
    <w:rsid w:val="000A6484"/>
    <w:rsid w:val="000B067A"/>
    <w:rsid w:val="000B1540"/>
    <w:rsid w:val="000B2829"/>
    <w:rsid w:val="000B33FD"/>
    <w:rsid w:val="000B4ABA"/>
    <w:rsid w:val="000C4B16"/>
    <w:rsid w:val="000C50C3"/>
    <w:rsid w:val="000D21F6"/>
    <w:rsid w:val="000D42C3"/>
    <w:rsid w:val="000D4500"/>
    <w:rsid w:val="000D7AEA"/>
    <w:rsid w:val="000E01A9"/>
    <w:rsid w:val="000E2C66"/>
    <w:rsid w:val="000E401D"/>
    <w:rsid w:val="000E6E7D"/>
    <w:rsid w:val="000F123C"/>
    <w:rsid w:val="000F2ADC"/>
    <w:rsid w:val="000F2FED"/>
    <w:rsid w:val="000F4505"/>
    <w:rsid w:val="0010616D"/>
    <w:rsid w:val="001065C2"/>
    <w:rsid w:val="00107A45"/>
    <w:rsid w:val="00110478"/>
    <w:rsid w:val="00117094"/>
    <w:rsid w:val="0011711B"/>
    <w:rsid w:val="00117F8A"/>
    <w:rsid w:val="00121B9B"/>
    <w:rsid w:val="00122ADC"/>
    <w:rsid w:val="00130F59"/>
    <w:rsid w:val="00133EC0"/>
    <w:rsid w:val="00141CE5"/>
    <w:rsid w:val="00144908"/>
    <w:rsid w:val="001571C7"/>
    <w:rsid w:val="00161094"/>
    <w:rsid w:val="00172A55"/>
    <w:rsid w:val="001758CD"/>
    <w:rsid w:val="0017665C"/>
    <w:rsid w:val="00177AD2"/>
    <w:rsid w:val="001815A8"/>
    <w:rsid w:val="00182926"/>
    <w:rsid w:val="001840FA"/>
    <w:rsid w:val="00190079"/>
    <w:rsid w:val="00191E31"/>
    <w:rsid w:val="0019622E"/>
    <w:rsid w:val="00196517"/>
    <w:rsid w:val="001966A7"/>
    <w:rsid w:val="001A4627"/>
    <w:rsid w:val="001A4979"/>
    <w:rsid w:val="001B02F7"/>
    <w:rsid w:val="001B15D3"/>
    <w:rsid w:val="001B3443"/>
    <w:rsid w:val="001B4BEE"/>
    <w:rsid w:val="001C0326"/>
    <w:rsid w:val="001C192F"/>
    <w:rsid w:val="001C3C42"/>
    <w:rsid w:val="001D4D27"/>
    <w:rsid w:val="001D7869"/>
    <w:rsid w:val="001E0D73"/>
    <w:rsid w:val="001E6B63"/>
    <w:rsid w:val="001F2F78"/>
    <w:rsid w:val="001F6D7C"/>
    <w:rsid w:val="002026CD"/>
    <w:rsid w:val="00202FD9"/>
    <w:rsid w:val="002033FC"/>
    <w:rsid w:val="002044BB"/>
    <w:rsid w:val="00210B09"/>
    <w:rsid w:val="00210C9E"/>
    <w:rsid w:val="00211840"/>
    <w:rsid w:val="00220E5F"/>
    <w:rsid w:val="002212B5"/>
    <w:rsid w:val="00226668"/>
    <w:rsid w:val="00233809"/>
    <w:rsid w:val="00240046"/>
    <w:rsid w:val="0024183C"/>
    <w:rsid w:val="0024797F"/>
    <w:rsid w:val="0025119E"/>
    <w:rsid w:val="00251269"/>
    <w:rsid w:val="00252575"/>
    <w:rsid w:val="002535C0"/>
    <w:rsid w:val="002550F0"/>
    <w:rsid w:val="002579FE"/>
    <w:rsid w:val="0026311C"/>
    <w:rsid w:val="00264C12"/>
    <w:rsid w:val="0026668C"/>
    <w:rsid w:val="00266AC1"/>
    <w:rsid w:val="0027178C"/>
    <w:rsid w:val="002719FA"/>
    <w:rsid w:val="00272668"/>
    <w:rsid w:val="0027330B"/>
    <w:rsid w:val="002803AD"/>
    <w:rsid w:val="00280657"/>
    <w:rsid w:val="00282052"/>
    <w:rsid w:val="0028519E"/>
    <w:rsid w:val="002856A5"/>
    <w:rsid w:val="00285F1D"/>
    <w:rsid w:val="002872ED"/>
    <w:rsid w:val="002905C2"/>
    <w:rsid w:val="00294F46"/>
    <w:rsid w:val="00295AF2"/>
    <w:rsid w:val="00295C91"/>
    <w:rsid w:val="00297151"/>
    <w:rsid w:val="002A135D"/>
    <w:rsid w:val="002B0A02"/>
    <w:rsid w:val="002B20E6"/>
    <w:rsid w:val="002B42A3"/>
    <w:rsid w:val="002C0CDD"/>
    <w:rsid w:val="002E0328"/>
    <w:rsid w:val="002E1A1D"/>
    <w:rsid w:val="002E4081"/>
    <w:rsid w:val="002E5B78"/>
    <w:rsid w:val="002F0078"/>
    <w:rsid w:val="002F066C"/>
    <w:rsid w:val="002F3AE3"/>
    <w:rsid w:val="002F5084"/>
    <w:rsid w:val="00300813"/>
    <w:rsid w:val="0030464B"/>
    <w:rsid w:val="0030786C"/>
    <w:rsid w:val="003233DE"/>
    <w:rsid w:val="0032466B"/>
    <w:rsid w:val="003251E5"/>
    <w:rsid w:val="00327B44"/>
    <w:rsid w:val="003330EB"/>
    <w:rsid w:val="00335A9E"/>
    <w:rsid w:val="00336605"/>
    <w:rsid w:val="003415FD"/>
    <w:rsid w:val="003429F0"/>
    <w:rsid w:val="0035097A"/>
    <w:rsid w:val="00354009"/>
    <w:rsid w:val="003540A4"/>
    <w:rsid w:val="00360E4E"/>
    <w:rsid w:val="0036103D"/>
    <w:rsid w:val="00370AAA"/>
    <w:rsid w:val="00374BB1"/>
    <w:rsid w:val="00375F77"/>
    <w:rsid w:val="00377A78"/>
    <w:rsid w:val="003818A6"/>
    <w:rsid w:val="00381BBE"/>
    <w:rsid w:val="00382903"/>
    <w:rsid w:val="003846FF"/>
    <w:rsid w:val="0038576A"/>
    <w:rsid w:val="00385AD4"/>
    <w:rsid w:val="00386B08"/>
    <w:rsid w:val="00387924"/>
    <w:rsid w:val="0039384D"/>
    <w:rsid w:val="00395C23"/>
    <w:rsid w:val="003A2E4F"/>
    <w:rsid w:val="003A32D7"/>
    <w:rsid w:val="003A4438"/>
    <w:rsid w:val="003A5013"/>
    <w:rsid w:val="003A5078"/>
    <w:rsid w:val="003A62DD"/>
    <w:rsid w:val="003A775A"/>
    <w:rsid w:val="003B0DAB"/>
    <w:rsid w:val="003B213A"/>
    <w:rsid w:val="003B43AD"/>
    <w:rsid w:val="003C0FEC"/>
    <w:rsid w:val="003C15B8"/>
    <w:rsid w:val="003C2AC8"/>
    <w:rsid w:val="003D17F9"/>
    <w:rsid w:val="003D2D88"/>
    <w:rsid w:val="003D41EA"/>
    <w:rsid w:val="003D4850"/>
    <w:rsid w:val="003D535A"/>
    <w:rsid w:val="003E5265"/>
    <w:rsid w:val="003E5569"/>
    <w:rsid w:val="003E5BFB"/>
    <w:rsid w:val="003F0955"/>
    <w:rsid w:val="003F27D2"/>
    <w:rsid w:val="003F6FE1"/>
    <w:rsid w:val="00400F00"/>
    <w:rsid w:val="00404F8B"/>
    <w:rsid w:val="00405256"/>
    <w:rsid w:val="00410031"/>
    <w:rsid w:val="004115A2"/>
    <w:rsid w:val="0041388B"/>
    <w:rsid w:val="00415C81"/>
    <w:rsid w:val="00416731"/>
    <w:rsid w:val="00427F57"/>
    <w:rsid w:val="00432378"/>
    <w:rsid w:val="00433596"/>
    <w:rsid w:val="0044048A"/>
    <w:rsid w:val="00440D65"/>
    <w:rsid w:val="004435E6"/>
    <w:rsid w:val="00447E31"/>
    <w:rsid w:val="00450C8A"/>
    <w:rsid w:val="00453923"/>
    <w:rsid w:val="00454B9B"/>
    <w:rsid w:val="00457858"/>
    <w:rsid w:val="00460B0B"/>
    <w:rsid w:val="00461023"/>
    <w:rsid w:val="00462FAC"/>
    <w:rsid w:val="00464631"/>
    <w:rsid w:val="00464B79"/>
    <w:rsid w:val="0046700E"/>
    <w:rsid w:val="00467BBF"/>
    <w:rsid w:val="00473124"/>
    <w:rsid w:val="004817FA"/>
    <w:rsid w:val="00485833"/>
    <w:rsid w:val="004867E2"/>
    <w:rsid w:val="00490655"/>
    <w:rsid w:val="00490A3B"/>
    <w:rsid w:val="004929A9"/>
    <w:rsid w:val="004C2FEC"/>
    <w:rsid w:val="004C649F"/>
    <w:rsid w:val="004C6BCF"/>
    <w:rsid w:val="004C7C4B"/>
    <w:rsid w:val="004D58BF"/>
    <w:rsid w:val="004E4279"/>
    <w:rsid w:val="004E4335"/>
    <w:rsid w:val="004E5ACF"/>
    <w:rsid w:val="004F0663"/>
    <w:rsid w:val="004F13EE"/>
    <w:rsid w:val="004F2022"/>
    <w:rsid w:val="004F5C5A"/>
    <w:rsid w:val="004F7C05"/>
    <w:rsid w:val="00501C94"/>
    <w:rsid w:val="00506432"/>
    <w:rsid w:val="0051242B"/>
    <w:rsid w:val="0052051D"/>
    <w:rsid w:val="00533FC2"/>
    <w:rsid w:val="00545EE6"/>
    <w:rsid w:val="0055475F"/>
    <w:rsid w:val="005550E7"/>
    <w:rsid w:val="005564FB"/>
    <w:rsid w:val="005572C7"/>
    <w:rsid w:val="0056422B"/>
    <w:rsid w:val="005650ED"/>
    <w:rsid w:val="005669C8"/>
    <w:rsid w:val="00575754"/>
    <w:rsid w:val="0059036C"/>
    <w:rsid w:val="00591E20"/>
    <w:rsid w:val="005928E2"/>
    <w:rsid w:val="00595408"/>
    <w:rsid w:val="00595E84"/>
    <w:rsid w:val="005A0C59"/>
    <w:rsid w:val="005A48EB"/>
    <w:rsid w:val="005A6CFB"/>
    <w:rsid w:val="005B13B2"/>
    <w:rsid w:val="005C012B"/>
    <w:rsid w:val="005C5AEB"/>
    <w:rsid w:val="005E0A3F"/>
    <w:rsid w:val="005E4DB0"/>
    <w:rsid w:val="005E6883"/>
    <w:rsid w:val="005E772F"/>
    <w:rsid w:val="005F2877"/>
    <w:rsid w:val="005F4ECA"/>
    <w:rsid w:val="006041BE"/>
    <w:rsid w:val="006043C7"/>
    <w:rsid w:val="00605453"/>
    <w:rsid w:val="00614237"/>
    <w:rsid w:val="00624B52"/>
    <w:rsid w:val="006250B5"/>
    <w:rsid w:val="00631DF4"/>
    <w:rsid w:val="00634175"/>
    <w:rsid w:val="006408AC"/>
    <w:rsid w:val="006511B6"/>
    <w:rsid w:val="00652742"/>
    <w:rsid w:val="00657FF8"/>
    <w:rsid w:val="006701E8"/>
    <w:rsid w:val="00670D99"/>
    <w:rsid w:val="00670E2B"/>
    <w:rsid w:val="00670FFD"/>
    <w:rsid w:val="006734BB"/>
    <w:rsid w:val="00681A34"/>
    <w:rsid w:val="006821EB"/>
    <w:rsid w:val="00687267"/>
    <w:rsid w:val="006B2286"/>
    <w:rsid w:val="006B56BB"/>
    <w:rsid w:val="006C405F"/>
    <w:rsid w:val="006C4B30"/>
    <w:rsid w:val="006C77A8"/>
    <w:rsid w:val="006D3B31"/>
    <w:rsid w:val="006D4098"/>
    <w:rsid w:val="006D7681"/>
    <w:rsid w:val="006D7B2E"/>
    <w:rsid w:val="006E02EA"/>
    <w:rsid w:val="006E0968"/>
    <w:rsid w:val="006E2AF6"/>
    <w:rsid w:val="00701275"/>
    <w:rsid w:val="0070161C"/>
    <w:rsid w:val="00707F56"/>
    <w:rsid w:val="00713558"/>
    <w:rsid w:val="007167F6"/>
    <w:rsid w:val="00720D08"/>
    <w:rsid w:val="00723273"/>
    <w:rsid w:val="00726056"/>
    <w:rsid w:val="007263B9"/>
    <w:rsid w:val="0072716C"/>
    <w:rsid w:val="007334F8"/>
    <w:rsid w:val="007339CD"/>
    <w:rsid w:val="007359D8"/>
    <w:rsid w:val="007362D4"/>
    <w:rsid w:val="00742FE9"/>
    <w:rsid w:val="00743144"/>
    <w:rsid w:val="00751A23"/>
    <w:rsid w:val="0076672A"/>
    <w:rsid w:val="00772BFD"/>
    <w:rsid w:val="00774901"/>
    <w:rsid w:val="00775E45"/>
    <w:rsid w:val="00776E74"/>
    <w:rsid w:val="00785169"/>
    <w:rsid w:val="007954AB"/>
    <w:rsid w:val="00797311"/>
    <w:rsid w:val="007A14C5"/>
    <w:rsid w:val="007A281D"/>
    <w:rsid w:val="007A3E38"/>
    <w:rsid w:val="007A4A10"/>
    <w:rsid w:val="007B1760"/>
    <w:rsid w:val="007B3813"/>
    <w:rsid w:val="007C4821"/>
    <w:rsid w:val="007C6D9C"/>
    <w:rsid w:val="007C7DDB"/>
    <w:rsid w:val="007D2C17"/>
    <w:rsid w:val="007D2CC7"/>
    <w:rsid w:val="007D673D"/>
    <w:rsid w:val="007D7208"/>
    <w:rsid w:val="007F2220"/>
    <w:rsid w:val="007F4B3E"/>
    <w:rsid w:val="007F588A"/>
    <w:rsid w:val="008127AF"/>
    <w:rsid w:val="00812B46"/>
    <w:rsid w:val="008144E7"/>
    <w:rsid w:val="00815700"/>
    <w:rsid w:val="00817B70"/>
    <w:rsid w:val="00822CCB"/>
    <w:rsid w:val="008264EB"/>
    <w:rsid w:val="00826B8F"/>
    <w:rsid w:val="00831E8A"/>
    <w:rsid w:val="00835C76"/>
    <w:rsid w:val="00843049"/>
    <w:rsid w:val="0085209B"/>
    <w:rsid w:val="00856B66"/>
    <w:rsid w:val="00861A5F"/>
    <w:rsid w:val="008644AD"/>
    <w:rsid w:val="00865735"/>
    <w:rsid w:val="00865DDB"/>
    <w:rsid w:val="00866B7A"/>
    <w:rsid w:val="00867538"/>
    <w:rsid w:val="00867A77"/>
    <w:rsid w:val="0087398D"/>
    <w:rsid w:val="00873D90"/>
    <w:rsid w:val="00873FC8"/>
    <w:rsid w:val="00884C63"/>
    <w:rsid w:val="00885908"/>
    <w:rsid w:val="008864B7"/>
    <w:rsid w:val="0089677E"/>
    <w:rsid w:val="00896E8C"/>
    <w:rsid w:val="008A7438"/>
    <w:rsid w:val="008B1334"/>
    <w:rsid w:val="008C0278"/>
    <w:rsid w:val="008C24E9"/>
    <w:rsid w:val="008D0533"/>
    <w:rsid w:val="008D42CB"/>
    <w:rsid w:val="008D48C9"/>
    <w:rsid w:val="008D5B79"/>
    <w:rsid w:val="008D6381"/>
    <w:rsid w:val="008E046A"/>
    <w:rsid w:val="008E0C77"/>
    <w:rsid w:val="008E625F"/>
    <w:rsid w:val="008F264D"/>
    <w:rsid w:val="009074E1"/>
    <w:rsid w:val="009112F7"/>
    <w:rsid w:val="009122AF"/>
    <w:rsid w:val="009127BC"/>
    <w:rsid w:val="00912D54"/>
    <w:rsid w:val="0091389F"/>
    <w:rsid w:val="009208F7"/>
    <w:rsid w:val="00920CE9"/>
    <w:rsid w:val="00922517"/>
    <w:rsid w:val="00922722"/>
    <w:rsid w:val="009261E6"/>
    <w:rsid w:val="009268E1"/>
    <w:rsid w:val="00926DF2"/>
    <w:rsid w:val="00930EAA"/>
    <w:rsid w:val="00945E7F"/>
    <w:rsid w:val="0095225F"/>
    <w:rsid w:val="009557C1"/>
    <w:rsid w:val="00960D6E"/>
    <w:rsid w:val="00970803"/>
    <w:rsid w:val="0097121B"/>
    <w:rsid w:val="00972BC1"/>
    <w:rsid w:val="00974B59"/>
    <w:rsid w:val="00980C6E"/>
    <w:rsid w:val="0098340B"/>
    <w:rsid w:val="00986830"/>
    <w:rsid w:val="009924C3"/>
    <w:rsid w:val="00993102"/>
    <w:rsid w:val="009A18BF"/>
    <w:rsid w:val="009A2E06"/>
    <w:rsid w:val="009A5019"/>
    <w:rsid w:val="009C45E4"/>
    <w:rsid w:val="009C4A39"/>
    <w:rsid w:val="009C6F10"/>
    <w:rsid w:val="009C7A12"/>
    <w:rsid w:val="009D0A4D"/>
    <w:rsid w:val="009D148F"/>
    <w:rsid w:val="009D3D70"/>
    <w:rsid w:val="009E6F7E"/>
    <w:rsid w:val="009E7A57"/>
    <w:rsid w:val="009F3FD7"/>
    <w:rsid w:val="009F4F6A"/>
    <w:rsid w:val="00A011B5"/>
    <w:rsid w:val="00A04084"/>
    <w:rsid w:val="00A16E36"/>
    <w:rsid w:val="00A24961"/>
    <w:rsid w:val="00A24B10"/>
    <w:rsid w:val="00A30E9B"/>
    <w:rsid w:val="00A4411C"/>
    <w:rsid w:val="00A44D08"/>
    <w:rsid w:val="00A4512D"/>
    <w:rsid w:val="00A50244"/>
    <w:rsid w:val="00A56F17"/>
    <w:rsid w:val="00A627D7"/>
    <w:rsid w:val="00A64268"/>
    <w:rsid w:val="00A656C7"/>
    <w:rsid w:val="00A705AF"/>
    <w:rsid w:val="00A72454"/>
    <w:rsid w:val="00A77696"/>
    <w:rsid w:val="00A80557"/>
    <w:rsid w:val="00A81D33"/>
    <w:rsid w:val="00A930AE"/>
    <w:rsid w:val="00AA1080"/>
    <w:rsid w:val="00AA1A95"/>
    <w:rsid w:val="00AA260F"/>
    <w:rsid w:val="00AB1EE7"/>
    <w:rsid w:val="00AB2DEF"/>
    <w:rsid w:val="00AB36D0"/>
    <w:rsid w:val="00AB4B37"/>
    <w:rsid w:val="00AB54ED"/>
    <w:rsid w:val="00AB5762"/>
    <w:rsid w:val="00AC2679"/>
    <w:rsid w:val="00AC4BE4"/>
    <w:rsid w:val="00AC6BF9"/>
    <w:rsid w:val="00AD05E6"/>
    <w:rsid w:val="00AD0D3F"/>
    <w:rsid w:val="00AE1D7D"/>
    <w:rsid w:val="00AE2A8B"/>
    <w:rsid w:val="00AE3F64"/>
    <w:rsid w:val="00AE474A"/>
    <w:rsid w:val="00AF1E8A"/>
    <w:rsid w:val="00AF5744"/>
    <w:rsid w:val="00AF7386"/>
    <w:rsid w:val="00AF7934"/>
    <w:rsid w:val="00B00B81"/>
    <w:rsid w:val="00B04580"/>
    <w:rsid w:val="00B04B09"/>
    <w:rsid w:val="00B10471"/>
    <w:rsid w:val="00B15515"/>
    <w:rsid w:val="00B16A51"/>
    <w:rsid w:val="00B25440"/>
    <w:rsid w:val="00B31B56"/>
    <w:rsid w:val="00B32222"/>
    <w:rsid w:val="00B3618D"/>
    <w:rsid w:val="00B36233"/>
    <w:rsid w:val="00B42851"/>
    <w:rsid w:val="00B45AC7"/>
    <w:rsid w:val="00B5372F"/>
    <w:rsid w:val="00B61129"/>
    <w:rsid w:val="00B67E7F"/>
    <w:rsid w:val="00B75A04"/>
    <w:rsid w:val="00B839B2"/>
    <w:rsid w:val="00B94252"/>
    <w:rsid w:val="00B9715A"/>
    <w:rsid w:val="00B97A26"/>
    <w:rsid w:val="00BA14BE"/>
    <w:rsid w:val="00BA2732"/>
    <w:rsid w:val="00BA279D"/>
    <w:rsid w:val="00BA293D"/>
    <w:rsid w:val="00BA49BC"/>
    <w:rsid w:val="00BA56B7"/>
    <w:rsid w:val="00BA7A1E"/>
    <w:rsid w:val="00BA7CA9"/>
    <w:rsid w:val="00BB2F6C"/>
    <w:rsid w:val="00BB3875"/>
    <w:rsid w:val="00BB5860"/>
    <w:rsid w:val="00BB6AAD"/>
    <w:rsid w:val="00BC4A19"/>
    <w:rsid w:val="00BC4E6D"/>
    <w:rsid w:val="00BD0617"/>
    <w:rsid w:val="00BD2E9B"/>
    <w:rsid w:val="00C00930"/>
    <w:rsid w:val="00C058DB"/>
    <w:rsid w:val="00C060AD"/>
    <w:rsid w:val="00C0670D"/>
    <w:rsid w:val="00C113BF"/>
    <w:rsid w:val="00C11904"/>
    <w:rsid w:val="00C17CDE"/>
    <w:rsid w:val="00C2176E"/>
    <w:rsid w:val="00C23430"/>
    <w:rsid w:val="00C258AB"/>
    <w:rsid w:val="00C26EF1"/>
    <w:rsid w:val="00C27D67"/>
    <w:rsid w:val="00C3202C"/>
    <w:rsid w:val="00C36C0D"/>
    <w:rsid w:val="00C4631F"/>
    <w:rsid w:val="00C50E16"/>
    <w:rsid w:val="00C5417C"/>
    <w:rsid w:val="00C55258"/>
    <w:rsid w:val="00C6295B"/>
    <w:rsid w:val="00C765BA"/>
    <w:rsid w:val="00C8233F"/>
    <w:rsid w:val="00C82EEB"/>
    <w:rsid w:val="00C83BAC"/>
    <w:rsid w:val="00C87CB8"/>
    <w:rsid w:val="00C971DC"/>
    <w:rsid w:val="00CA16B7"/>
    <w:rsid w:val="00CA4BE3"/>
    <w:rsid w:val="00CA62AE"/>
    <w:rsid w:val="00CB5B1A"/>
    <w:rsid w:val="00CC220B"/>
    <w:rsid w:val="00CC5C43"/>
    <w:rsid w:val="00CD02AE"/>
    <w:rsid w:val="00CD0BE3"/>
    <w:rsid w:val="00CD2A27"/>
    <w:rsid w:val="00CD2A4F"/>
    <w:rsid w:val="00CE03CA"/>
    <w:rsid w:val="00CE22F1"/>
    <w:rsid w:val="00CE50F2"/>
    <w:rsid w:val="00CE6502"/>
    <w:rsid w:val="00CF27FD"/>
    <w:rsid w:val="00CF7D3C"/>
    <w:rsid w:val="00D05C1F"/>
    <w:rsid w:val="00D147EB"/>
    <w:rsid w:val="00D2732B"/>
    <w:rsid w:val="00D34667"/>
    <w:rsid w:val="00D401E1"/>
    <w:rsid w:val="00D408B4"/>
    <w:rsid w:val="00D45D94"/>
    <w:rsid w:val="00D524C8"/>
    <w:rsid w:val="00D52EEA"/>
    <w:rsid w:val="00D543BE"/>
    <w:rsid w:val="00D57779"/>
    <w:rsid w:val="00D60E25"/>
    <w:rsid w:val="00D621CF"/>
    <w:rsid w:val="00D70E24"/>
    <w:rsid w:val="00D72B61"/>
    <w:rsid w:val="00D9226C"/>
    <w:rsid w:val="00D93BF6"/>
    <w:rsid w:val="00DA3D1D"/>
    <w:rsid w:val="00DB0138"/>
    <w:rsid w:val="00DB1BA9"/>
    <w:rsid w:val="00DB53FF"/>
    <w:rsid w:val="00DB6286"/>
    <w:rsid w:val="00DB645F"/>
    <w:rsid w:val="00DB76E9"/>
    <w:rsid w:val="00DC0727"/>
    <w:rsid w:val="00DC0A67"/>
    <w:rsid w:val="00DC1D5E"/>
    <w:rsid w:val="00DC2313"/>
    <w:rsid w:val="00DC5220"/>
    <w:rsid w:val="00DC7910"/>
    <w:rsid w:val="00DD2061"/>
    <w:rsid w:val="00DD7DAB"/>
    <w:rsid w:val="00DE3355"/>
    <w:rsid w:val="00DE3BA7"/>
    <w:rsid w:val="00DE438E"/>
    <w:rsid w:val="00DF486F"/>
    <w:rsid w:val="00DF5B5B"/>
    <w:rsid w:val="00DF7619"/>
    <w:rsid w:val="00E03482"/>
    <w:rsid w:val="00E042D8"/>
    <w:rsid w:val="00E07EE7"/>
    <w:rsid w:val="00E1103B"/>
    <w:rsid w:val="00E17B44"/>
    <w:rsid w:val="00E27FEA"/>
    <w:rsid w:val="00E4086F"/>
    <w:rsid w:val="00E43B3C"/>
    <w:rsid w:val="00E50188"/>
    <w:rsid w:val="00E515CB"/>
    <w:rsid w:val="00E52260"/>
    <w:rsid w:val="00E53188"/>
    <w:rsid w:val="00E60073"/>
    <w:rsid w:val="00E6294C"/>
    <w:rsid w:val="00E639B6"/>
    <w:rsid w:val="00E6434B"/>
    <w:rsid w:val="00E6463D"/>
    <w:rsid w:val="00E6521B"/>
    <w:rsid w:val="00E67043"/>
    <w:rsid w:val="00E71147"/>
    <w:rsid w:val="00E72E9B"/>
    <w:rsid w:val="00E7627A"/>
    <w:rsid w:val="00E849DA"/>
    <w:rsid w:val="00E9462E"/>
    <w:rsid w:val="00EA3555"/>
    <w:rsid w:val="00EA470E"/>
    <w:rsid w:val="00EA47A7"/>
    <w:rsid w:val="00EA57EB"/>
    <w:rsid w:val="00EB3226"/>
    <w:rsid w:val="00EC213A"/>
    <w:rsid w:val="00EC4015"/>
    <w:rsid w:val="00EC465C"/>
    <w:rsid w:val="00EC6603"/>
    <w:rsid w:val="00EC7744"/>
    <w:rsid w:val="00ED0DAD"/>
    <w:rsid w:val="00ED0F46"/>
    <w:rsid w:val="00ED2373"/>
    <w:rsid w:val="00EE2BAC"/>
    <w:rsid w:val="00EE3E8A"/>
    <w:rsid w:val="00EF44ED"/>
    <w:rsid w:val="00EF6ECA"/>
    <w:rsid w:val="00F024E1"/>
    <w:rsid w:val="00F06C10"/>
    <w:rsid w:val="00F1096F"/>
    <w:rsid w:val="00F12589"/>
    <w:rsid w:val="00F12595"/>
    <w:rsid w:val="00F134D9"/>
    <w:rsid w:val="00F13FD9"/>
    <w:rsid w:val="00F1403D"/>
    <w:rsid w:val="00F1463F"/>
    <w:rsid w:val="00F14902"/>
    <w:rsid w:val="00F21302"/>
    <w:rsid w:val="00F27E89"/>
    <w:rsid w:val="00F312AD"/>
    <w:rsid w:val="00F321DE"/>
    <w:rsid w:val="00F33777"/>
    <w:rsid w:val="00F40648"/>
    <w:rsid w:val="00F47DA2"/>
    <w:rsid w:val="00F519FC"/>
    <w:rsid w:val="00F6239D"/>
    <w:rsid w:val="00F715D2"/>
    <w:rsid w:val="00F7274F"/>
    <w:rsid w:val="00F76FA8"/>
    <w:rsid w:val="00F93F08"/>
    <w:rsid w:val="00F94CED"/>
    <w:rsid w:val="00F95440"/>
    <w:rsid w:val="00FA2CEE"/>
    <w:rsid w:val="00FA318C"/>
    <w:rsid w:val="00FA7B9C"/>
    <w:rsid w:val="00FB0CA7"/>
    <w:rsid w:val="00FB6F92"/>
    <w:rsid w:val="00FC026E"/>
    <w:rsid w:val="00FC1E2E"/>
    <w:rsid w:val="00FC5124"/>
    <w:rsid w:val="00FC6FEF"/>
    <w:rsid w:val="00FD4731"/>
    <w:rsid w:val="00FF0AB0"/>
    <w:rsid w:val="00FF289F"/>
    <w:rsid w:val="00FF28AC"/>
    <w:rsid w:val="00FF4EB9"/>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241900E4"/>
  <w15:docId w15:val="{C75D342D-5734-4F06-B103-CE73722060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751A23"/>
    <w:rPr>
      <w:rFonts w:ascii="Arial" w:hAnsi="Arial"/>
      <w:sz w:val="22"/>
      <w:szCs w:val="24"/>
      <w:lang w:eastAsia="en-US"/>
    </w:rPr>
  </w:style>
  <w:style w:type="paragraph" w:styleId="Heading1">
    <w:name w:val="heading 1"/>
    <w:basedOn w:val="Normal"/>
    <w:next w:val="Normal"/>
    <w:link w:val="Heading1Char"/>
    <w:qFormat/>
    <w:rsid w:val="009127BC"/>
    <w:pPr>
      <w:keepNext/>
      <w:spacing w:before="240" w:after="60"/>
      <w:outlineLvl w:val="0"/>
    </w:pPr>
    <w:rPr>
      <w:rFonts w:cs="Arial"/>
      <w:bCs/>
      <w:color w:val="3F4A75"/>
      <w:kern w:val="28"/>
      <w:sz w:val="36"/>
      <w:szCs w:val="36"/>
    </w:rPr>
  </w:style>
  <w:style w:type="paragraph" w:styleId="Heading2">
    <w:name w:val="heading 2"/>
    <w:next w:val="Paragraphtext"/>
    <w:qFormat/>
    <w:rsid w:val="009127BC"/>
    <w:pPr>
      <w:keepNext/>
      <w:spacing w:before="240" w:after="60"/>
      <w:outlineLvl w:val="1"/>
    </w:pPr>
    <w:rPr>
      <w:rFonts w:ascii="Arial" w:hAnsi="Arial" w:cs="Arial"/>
      <w:bCs/>
      <w:iCs/>
      <w:color w:val="358189"/>
      <w:sz w:val="32"/>
      <w:szCs w:val="28"/>
      <w:lang w:eastAsia="en-US"/>
    </w:rPr>
  </w:style>
  <w:style w:type="paragraph" w:styleId="Heading3">
    <w:name w:val="heading 3"/>
    <w:next w:val="Normal"/>
    <w:qFormat/>
    <w:rsid w:val="009127BC"/>
    <w:pPr>
      <w:keepNext/>
      <w:spacing w:before="180" w:after="60"/>
      <w:outlineLvl w:val="2"/>
    </w:pPr>
    <w:rPr>
      <w:rFonts w:ascii="Arial" w:hAnsi="Arial" w:cs="Arial"/>
      <w:bCs/>
      <w:color w:val="358189"/>
      <w:sz w:val="28"/>
      <w:szCs w:val="26"/>
      <w:lang w:eastAsia="en-US"/>
    </w:rPr>
  </w:style>
  <w:style w:type="paragraph" w:styleId="Heading4">
    <w:name w:val="heading 4"/>
    <w:basedOn w:val="Normal"/>
    <w:next w:val="Normal"/>
    <w:qFormat/>
    <w:rsid w:val="00027071"/>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1571C7"/>
    <w:pPr>
      <w:spacing w:before="120" w:after="60"/>
    </w:pPr>
    <w:rPr>
      <w:color w:val="000000" w:themeColor="text1"/>
      <w:sz w:val="21"/>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5564FB"/>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564FB"/>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751A23"/>
    <w:pPr>
      <w:spacing w:before="2160" w:after="120"/>
      <w:contextualSpacing/>
    </w:pPr>
    <w:rPr>
      <w:rFonts w:eastAsiaTheme="majorEastAsia" w:cstheme="majorBidi"/>
      <w:b/>
      <w:color w:val="3F4A75"/>
      <w:kern w:val="28"/>
      <w:sz w:val="48"/>
      <w:szCs w:val="52"/>
    </w:rPr>
  </w:style>
  <w:style w:type="character" w:customStyle="1" w:styleId="TitleChar">
    <w:name w:val="Title Char"/>
    <w:basedOn w:val="DefaultParagraphFont"/>
    <w:link w:val="Title"/>
    <w:rsid w:val="00751A23"/>
    <w:rPr>
      <w:rFonts w:ascii="Arial" w:eastAsiaTheme="majorEastAsia" w:hAnsi="Arial" w:cstheme="majorBidi"/>
      <w:b/>
      <w:color w:val="3F4A75"/>
      <w:kern w:val="28"/>
      <w:sz w:val="48"/>
      <w:szCs w:val="52"/>
      <w:lang w:eastAsia="en-US"/>
    </w:rPr>
  </w:style>
  <w:style w:type="paragraph" w:styleId="NoSpacing">
    <w:name w:val="No Spacing"/>
    <w:uiPriority w:val="1"/>
    <w:rsid w:val="00A4512D"/>
    <w:rPr>
      <w:sz w:val="24"/>
      <w:szCs w:val="24"/>
      <w:lang w:eastAsia="en-US"/>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rsid w:val="00A4512D"/>
    <w:pPr>
      <w:pBdr>
        <w:bottom w:val="single" w:sz="4" w:space="4" w:color="3F4A75" w:themeColor="accent1"/>
      </w:pBdr>
      <w:spacing w:before="200" w:after="280"/>
      <w:ind w:left="936" w:right="936"/>
    </w:pPr>
    <w:rPr>
      <w:b/>
      <w:bCs/>
      <w:i/>
      <w:iCs/>
      <w:color w:val="3F4A75" w:themeColor="accent1"/>
    </w:rPr>
  </w:style>
  <w:style w:type="character" w:customStyle="1" w:styleId="IntenseQuoteChar">
    <w:name w:val="Intense Quote Char"/>
    <w:basedOn w:val="DefaultParagraphFont"/>
    <w:link w:val="IntenseQuote"/>
    <w:uiPriority w:val="30"/>
    <w:rsid w:val="00A4512D"/>
    <w:rPr>
      <w:b/>
      <w:bCs/>
      <w:i/>
      <w:iCs/>
      <w:color w:val="3F4A75" w:themeColor="accent1"/>
      <w:sz w:val="24"/>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16"/>
      </w:numPr>
      <w:ind w:left="568" w:hanging="284"/>
    </w:pPr>
  </w:style>
  <w:style w:type="paragraph" w:styleId="ListNumber2">
    <w:name w:val="List Number 2"/>
    <w:basedOn w:val="ListBullet"/>
    <w:qFormat/>
    <w:rsid w:val="00A56F17"/>
    <w:pPr>
      <w:numPr>
        <w:numId w:val="19"/>
      </w:numPr>
    </w:pPr>
  </w:style>
  <w:style w:type="paragraph" w:styleId="ListBullet">
    <w:name w:val="List Bullet"/>
    <w:basedOn w:val="Normal"/>
    <w:qFormat/>
    <w:rsid w:val="00A56F17"/>
    <w:pPr>
      <w:numPr>
        <w:numId w:val="17"/>
      </w:numPr>
      <w:spacing w:before="60" w:after="60"/>
    </w:pPr>
    <w:rPr>
      <w:color w:val="000000" w:themeColor="text1"/>
      <w:sz w:val="21"/>
    </w:rPr>
  </w:style>
  <w:style w:type="paragraph" w:styleId="ListParagraph">
    <w:name w:val="List Paragraph"/>
    <w:basedOn w:val="Normal"/>
    <w:uiPriority w:val="34"/>
    <w:rsid w:val="00A4512D"/>
    <w:pPr>
      <w:ind w:left="720"/>
      <w:contextualSpacing/>
    </w:pPr>
  </w:style>
  <w:style w:type="paragraph" w:styleId="ListNumber3">
    <w:name w:val="List Number 3"/>
    <w:aliases w:val="List Third Level"/>
    <w:basedOn w:val="ListNumber2"/>
    <w:rsid w:val="00BA56B7"/>
    <w:pPr>
      <w:numPr>
        <w:numId w:val="2"/>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0B067A"/>
    <w:rPr>
      <w:rFonts w:ascii="Tahoma" w:hAnsi="Tahoma" w:cs="Tahoma"/>
      <w:sz w:val="16"/>
      <w:szCs w:val="16"/>
    </w:rPr>
  </w:style>
  <w:style w:type="character" w:customStyle="1" w:styleId="BalloonTextChar">
    <w:name w:val="Balloon Text Char"/>
    <w:basedOn w:val="DefaultParagraphFont"/>
    <w:link w:val="BalloonText"/>
    <w:rsid w:val="000B067A"/>
    <w:rPr>
      <w:rFonts w:ascii="Tahoma" w:hAnsi="Tahoma" w:cs="Tahoma"/>
      <w:sz w:val="16"/>
      <w:szCs w:val="16"/>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9127BC"/>
    <w:pPr>
      <w:spacing w:before="60" w:after="60"/>
    </w:pPr>
    <w:rPr>
      <w:rFonts w:ascii="Arial" w:hAnsi="Arial"/>
      <w:color w:val="000000" w:themeColor="text1"/>
      <w:sz w:val="21"/>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DC7910"/>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customStyle="1" w:styleId="HeaderChar">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customStyle="1" w:styleId="FooterChar">
    <w:name w:val="Footer Char"/>
    <w:basedOn w:val="DefaultParagraphFont"/>
    <w:link w:val="Footer"/>
    <w:uiPriority w:val="99"/>
    <w:rsid w:val="00220E5F"/>
    <w:rPr>
      <w:rFonts w:ascii="Arial" w:hAnsi="Arial"/>
      <w:szCs w:val="24"/>
      <w:lang w:eastAsia="en-US"/>
    </w:rPr>
  </w:style>
  <w:style w:type="paragraph" w:customStyle="1" w:styleId="TableHeaderWhite">
    <w:name w:val="Table Header White"/>
    <w:basedOn w:val="Normal"/>
    <w:next w:val="Tabletextleft"/>
    <w:qFormat/>
    <w:rsid w:val="00DC7910"/>
    <w:pPr>
      <w:spacing w:before="80" w:after="80"/>
    </w:pPr>
    <w:rPr>
      <w:rFonts w:eastAsia="Cambria"/>
      <w:b/>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DA3D1D"/>
    <w:pPr>
      <w:spacing w:before="120" w:after="120"/>
    </w:pPr>
    <w:rPr>
      <w:rFonts w:cs="Arial"/>
      <w:b/>
      <w:bCs/>
      <w:iCs/>
      <w:color w:val="000000" w:themeColor="text1"/>
      <w:szCs w:val="22"/>
    </w:rPr>
  </w:style>
  <w:style w:type="paragraph" w:styleId="NormalWeb">
    <w:name w:val="Normal (Web)"/>
    <w:basedOn w:val="Normal"/>
    <w:uiPriority w:val="99"/>
    <w:unhideWhenUsed/>
    <w:rsid w:val="00093981"/>
    <w:pPr>
      <w:spacing w:before="100" w:beforeAutospacing="1" w:after="100" w:afterAutospacing="1"/>
    </w:pPr>
    <w:rPr>
      <w:rFonts w:ascii="Times New Roman" w:hAnsi="Times New Roman"/>
      <w:sz w:val="24"/>
      <w:lang w:eastAsia="en-AU"/>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Heading1Purple">
    <w:name w:val="Heading 1 Purple"/>
    <w:basedOn w:val="Heading1"/>
    <w:next w:val="Paragraphtext"/>
    <w:rsid w:val="0091389F"/>
    <w:rPr>
      <w:color w:val="8D188D"/>
    </w:rPr>
  </w:style>
  <w:style w:type="paragraph" w:customStyle="1" w:styleId="Heading2Purple">
    <w:name w:val="Heading 2 Purple"/>
    <w:basedOn w:val="Heading2"/>
    <w:next w:val="Paragraphtext"/>
    <w:rsid w:val="00922722"/>
    <w:pPr>
      <w:spacing w:before="180"/>
    </w:pPr>
    <w:rPr>
      <w:color w:val="8D188D"/>
    </w:rPr>
  </w:style>
  <w:style w:type="paragraph" w:customStyle="1" w:styleId="Tablelistbullet">
    <w:name w:val="Table list bullet"/>
    <w:basedOn w:val="Tabletextleft"/>
    <w:qFormat/>
    <w:rsid w:val="00110478"/>
    <w:pPr>
      <w:numPr>
        <w:numId w:val="3"/>
      </w:numPr>
      <w:ind w:left="284" w:hanging="284"/>
    </w:pPr>
    <w:rPr>
      <w:szCs w:val="20"/>
    </w:rPr>
  </w:style>
  <w:style w:type="paragraph" w:customStyle="1" w:styleId="Tablelistnumber">
    <w:name w:val="Table list number"/>
    <w:basedOn w:val="Tabletextleft"/>
    <w:qFormat/>
    <w:rsid w:val="00DD2061"/>
    <w:pPr>
      <w:numPr>
        <w:numId w:val="4"/>
      </w:numPr>
    </w:pPr>
    <w:rPr>
      <w:bCs/>
      <w14:numSpacing w14:val="proportional"/>
    </w:rPr>
  </w:style>
  <w:style w:type="paragraph" w:customStyle="1" w:styleId="TableHeader">
    <w:name w:val="Table Header"/>
    <w:basedOn w:val="Normal"/>
    <w:next w:val="Tabletextleft"/>
    <w:qFormat/>
    <w:rsid w:val="00DC2313"/>
    <w:pPr>
      <w:spacing w:before="80" w:after="80"/>
    </w:pPr>
    <w:rPr>
      <w:rFonts w:eastAsia="Cambria"/>
      <w:b/>
      <w:color w:val="FFFFFF" w:themeColor="background1"/>
      <w:szCs w:val="22"/>
      <w:lang w:val="en-US"/>
    </w:rPr>
  </w:style>
  <w:style w:type="paragraph" w:customStyle="1" w:styleId="SectionHeading">
    <w:name w:val="Section Heading"/>
    <w:basedOn w:val="Heading1"/>
    <w:next w:val="Paragraphtext"/>
    <w:rsid w:val="00CE6502"/>
    <w:rPr>
      <w:szCs w:val="32"/>
    </w:rPr>
  </w:style>
  <w:style w:type="paragraph" w:customStyle="1" w:styleId="Heading1Orange">
    <w:name w:val="Heading 1 Orange"/>
    <w:basedOn w:val="Heading1"/>
    <w:next w:val="Paragraphtext"/>
    <w:rsid w:val="00AB1EE7"/>
    <w:rPr>
      <w:color w:val="D72F0D"/>
    </w:rPr>
  </w:style>
  <w:style w:type="paragraph" w:customStyle="1" w:styleId="Heading2Orange">
    <w:name w:val="Heading 2 Orange"/>
    <w:basedOn w:val="Heading2"/>
    <w:rsid w:val="00AB1EE7"/>
    <w:rPr>
      <w:color w:val="D72F0D"/>
    </w:rPr>
  </w:style>
  <w:style w:type="paragraph" w:styleId="FootnoteText">
    <w:name w:val="footnote text"/>
    <w:basedOn w:val="Normal"/>
    <w:link w:val="FootnoteTextChar"/>
    <w:rsid w:val="00A24961"/>
    <w:rPr>
      <w:sz w:val="20"/>
      <w:szCs w:val="20"/>
    </w:rPr>
  </w:style>
  <w:style w:type="character" w:customStyle="1" w:styleId="FootnoteTextChar">
    <w:name w:val="Footnote Text Char"/>
    <w:basedOn w:val="DefaultParagraphFont"/>
    <w:link w:val="FootnoteText"/>
    <w:rsid w:val="00A24961"/>
    <w:rPr>
      <w:rFonts w:ascii="Arial" w:hAnsi="Arial"/>
      <w:lang w:eastAsia="en-US"/>
    </w:rPr>
  </w:style>
  <w:style w:type="paragraph" w:styleId="Caption">
    <w:name w:val="caption"/>
    <w:basedOn w:val="Normal"/>
    <w:next w:val="Normal"/>
    <w:unhideWhenUsed/>
    <w:rsid w:val="00E6463D"/>
    <w:pPr>
      <w:spacing w:after="200"/>
    </w:pPr>
    <w:rPr>
      <w:b/>
      <w:bCs/>
      <w:color w:val="3F4A75" w:themeColor="accent1"/>
      <w:sz w:val="18"/>
      <w:szCs w:val="18"/>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table" w:customStyle="1" w:styleId="DepartmentofHealthtable">
    <w:name w:val="Department of Health table"/>
    <w:basedOn w:val="TableNormal"/>
    <w:uiPriority w:val="99"/>
    <w:rsid w:val="00DC2313"/>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DC7910"/>
    <w:rPr>
      <w:rFonts w:ascii="Arial" w:hAnsi="Arial"/>
      <w:b/>
      <w:color w:val="000000" w:themeColor="text1"/>
      <w:sz w:val="22"/>
      <w:szCs w:val="24"/>
      <w:lang w:val="en-US" w:eastAsia="en-US"/>
    </w:rPr>
  </w:style>
  <w:style w:type="paragraph" w:customStyle="1" w:styleId="IntroPara">
    <w:name w:val="Intro Para"/>
    <w:basedOn w:val="Paragraphtext"/>
    <w:next w:val="Paragraphtext"/>
    <w:qFormat/>
    <w:rsid w:val="009127BC"/>
    <w:pPr>
      <w:spacing w:before="480" w:line="400" w:lineRule="exact"/>
    </w:pPr>
    <w:rPr>
      <w:color w:val="358189"/>
      <w:sz w:val="28"/>
    </w:rPr>
  </w:style>
  <w:style w:type="paragraph" w:customStyle="1" w:styleId="TableTextright">
    <w:name w:val="Table Text right"/>
    <w:basedOn w:val="Tabletextleft"/>
    <w:rsid w:val="009127BC"/>
    <w:pPr>
      <w:jc w:val="right"/>
    </w:pPr>
  </w:style>
  <w:style w:type="paragraph" w:customStyle="1" w:styleId="Tabletextright0">
    <w:name w:val="Table text right"/>
    <w:basedOn w:val="Tabletextleft"/>
    <w:rsid w:val="009127BC"/>
    <w:pPr>
      <w:jc w:val="right"/>
    </w:pPr>
  </w:style>
  <w:style w:type="paragraph" w:customStyle="1" w:styleId="Tabletextcentre">
    <w:name w:val="Table text centre"/>
    <w:basedOn w:val="Tabletextleft"/>
    <w:rsid w:val="009127BC"/>
    <w:pPr>
      <w:jc w:val="center"/>
    </w:pPr>
  </w:style>
  <w:style w:type="paragraph" w:customStyle="1" w:styleId="Boxheading">
    <w:name w:val="Box heading"/>
    <w:basedOn w:val="Boxtype"/>
    <w:rsid w:val="00CA4BE3"/>
    <w:pPr>
      <w:spacing w:before="240"/>
    </w:pPr>
    <w:rPr>
      <w:rFonts w:cs="Times New Roman"/>
      <w:b/>
      <w:bCs/>
      <w:caps/>
      <w:color w:val="358189"/>
      <w:szCs w:val="20"/>
    </w:rPr>
  </w:style>
  <w:style w:type="paragraph" w:customStyle="1" w:styleId="Boxtype">
    <w:name w:val="Box type"/>
    <w:next w:val="Normal"/>
    <w:qFormat/>
    <w:rsid w:val="00CA4BE3"/>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styleId="CommentReference">
    <w:name w:val="annotation reference"/>
    <w:basedOn w:val="DefaultParagraphFont"/>
    <w:semiHidden/>
    <w:unhideWhenUsed/>
    <w:rsid w:val="0055475F"/>
    <w:rPr>
      <w:sz w:val="16"/>
      <w:szCs w:val="16"/>
    </w:rPr>
  </w:style>
  <w:style w:type="paragraph" w:styleId="CommentText">
    <w:name w:val="annotation text"/>
    <w:basedOn w:val="Normal"/>
    <w:link w:val="CommentTextChar"/>
    <w:semiHidden/>
    <w:unhideWhenUsed/>
    <w:rsid w:val="0055475F"/>
    <w:rPr>
      <w:sz w:val="20"/>
      <w:szCs w:val="20"/>
    </w:rPr>
  </w:style>
  <w:style w:type="character" w:customStyle="1" w:styleId="CommentTextChar">
    <w:name w:val="Comment Text Char"/>
    <w:basedOn w:val="DefaultParagraphFont"/>
    <w:link w:val="CommentText"/>
    <w:semiHidden/>
    <w:rsid w:val="0055475F"/>
    <w:rPr>
      <w:rFonts w:ascii="Arial" w:hAnsi="Arial"/>
      <w:lang w:eastAsia="en-US"/>
    </w:rPr>
  </w:style>
  <w:style w:type="paragraph" w:styleId="CommentSubject">
    <w:name w:val="annotation subject"/>
    <w:basedOn w:val="CommentText"/>
    <w:next w:val="CommentText"/>
    <w:link w:val="CommentSubjectChar"/>
    <w:semiHidden/>
    <w:unhideWhenUsed/>
    <w:rsid w:val="0055475F"/>
    <w:rPr>
      <w:b/>
      <w:bCs/>
    </w:rPr>
  </w:style>
  <w:style w:type="character" w:customStyle="1" w:styleId="CommentSubjectChar">
    <w:name w:val="Comment Subject Char"/>
    <w:basedOn w:val="CommentTextChar"/>
    <w:link w:val="CommentSubject"/>
    <w:semiHidden/>
    <w:rsid w:val="0055475F"/>
    <w:rPr>
      <w:rFonts w:ascii="Arial" w:hAnsi="Arial"/>
      <w:b/>
      <w:bCs/>
      <w:lang w:eastAsia="en-US"/>
    </w:rPr>
  </w:style>
  <w:style w:type="paragraph" w:styleId="Revision">
    <w:name w:val="Revision"/>
    <w:hidden/>
    <w:uiPriority w:val="99"/>
    <w:semiHidden/>
    <w:rsid w:val="006C4B30"/>
    <w:rPr>
      <w:rFonts w:ascii="Arial" w:hAnsi="Arial"/>
      <w:sz w:val="22"/>
      <w:szCs w:val="24"/>
      <w:lang w:eastAsia="en-US"/>
    </w:rPr>
  </w:style>
  <w:style w:type="character" w:customStyle="1" w:styleId="Heading1Char">
    <w:name w:val="Heading 1 Char"/>
    <w:basedOn w:val="DefaultParagraphFont"/>
    <w:link w:val="Heading1"/>
    <w:rsid w:val="004817FA"/>
    <w:rPr>
      <w:rFonts w:ascii="Arial" w:hAnsi="Arial" w:cs="Arial"/>
      <w:bCs/>
      <w:color w:val="3F4A75"/>
      <w:kern w:val="28"/>
      <w:sz w:val="36"/>
      <w:szCs w:val="3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91582314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306006266">
      <w:bodyDiv w:val="1"/>
      <w:marLeft w:val="0"/>
      <w:marRight w:val="0"/>
      <w:marTop w:val="0"/>
      <w:marBottom w:val="0"/>
      <w:divBdr>
        <w:top w:val="none" w:sz="0" w:space="0" w:color="auto"/>
        <w:left w:val="none" w:sz="0" w:space="0" w:color="auto"/>
        <w:bottom w:val="none" w:sz="0" w:space="0" w:color="auto"/>
        <w:right w:val="none" w:sz="0" w:space="0" w:color="auto"/>
      </w:divBdr>
    </w:div>
    <w:div w:id="1306163964">
      <w:bodyDiv w:val="1"/>
      <w:marLeft w:val="0"/>
      <w:marRight w:val="0"/>
      <w:marTop w:val="0"/>
      <w:marBottom w:val="0"/>
      <w:divBdr>
        <w:top w:val="none" w:sz="0" w:space="0" w:color="auto"/>
        <w:left w:val="none" w:sz="0" w:space="0" w:color="auto"/>
        <w:bottom w:val="none" w:sz="0" w:space="0" w:color="auto"/>
        <w:right w:val="none" w:sz="0" w:space="0" w:color="auto"/>
      </w:divBdr>
    </w:div>
    <w:div w:id="1443185315">
      <w:bodyDiv w:val="1"/>
      <w:marLeft w:val="0"/>
      <w:marRight w:val="0"/>
      <w:marTop w:val="0"/>
      <w:marBottom w:val="0"/>
      <w:divBdr>
        <w:top w:val="none" w:sz="0" w:space="0" w:color="auto"/>
        <w:left w:val="none" w:sz="0" w:space="0" w:color="auto"/>
        <w:bottom w:val="none" w:sz="0" w:space="0" w:color="auto"/>
        <w:right w:val="none" w:sz="0" w:space="0" w:color="auto"/>
      </w:divBdr>
    </w:div>
    <w:div w:id="1598633203">
      <w:bodyDiv w:val="1"/>
      <w:marLeft w:val="0"/>
      <w:marRight w:val="0"/>
      <w:marTop w:val="0"/>
      <w:marBottom w:val="0"/>
      <w:divBdr>
        <w:top w:val="none" w:sz="0" w:space="0" w:color="auto"/>
        <w:left w:val="none" w:sz="0" w:space="0" w:color="auto"/>
        <w:bottom w:val="none" w:sz="0" w:space="0" w:color="auto"/>
        <w:right w:val="none" w:sz="0" w:space="0" w:color="auto"/>
      </w:divBdr>
      <w:divsChild>
        <w:div w:id="2084183690">
          <w:marLeft w:val="360"/>
          <w:marRight w:val="0"/>
          <w:marTop w:val="200"/>
          <w:marBottom w:val="0"/>
          <w:divBdr>
            <w:top w:val="none" w:sz="0" w:space="0" w:color="auto"/>
            <w:left w:val="none" w:sz="0" w:space="0" w:color="auto"/>
            <w:bottom w:val="none" w:sz="0" w:space="0" w:color="auto"/>
            <w:right w:val="none" w:sz="0" w:space="0" w:color="auto"/>
          </w:divBdr>
        </w:div>
        <w:div w:id="1597977411">
          <w:marLeft w:val="1080"/>
          <w:marRight w:val="0"/>
          <w:marTop w:val="100"/>
          <w:marBottom w:val="0"/>
          <w:divBdr>
            <w:top w:val="none" w:sz="0" w:space="0" w:color="auto"/>
            <w:left w:val="none" w:sz="0" w:space="0" w:color="auto"/>
            <w:bottom w:val="none" w:sz="0" w:space="0" w:color="auto"/>
            <w:right w:val="none" w:sz="0" w:space="0" w:color="auto"/>
          </w:divBdr>
        </w:div>
        <w:div w:id="1012340491">
          <w:marLeft w:val="1080"/>
          <w:marRight w:val="0"/>
          <w:marTop w:val="100"/>
          <w:marBottom w:val="0"/>
          <w:divBdr>
            <w:top w:val="none" w:sz="0" w:space="0" w:color="auto"/>
            <w:left w:val="none" w:sz="0" w:space="0" w:color="auto"/>
            <w:bottom w:val="none" w:sz="0" w:space="0" w:color="auto"/>
            <w:right w:val="none" w:sz="0" w:space="0" w:color="auto"/>
          </w:divBdr>
        </w:div>
        <w:div w:id="1240366368">
          <w:marLeft w:val="1080"/>
          <w:marRight w:val="0"/>
          <w:marTop w:val="100"/>
          <w:marBottom w:val="0"/>
          <w:divBdr>
            <w:top w:val="none" w:sz="0" w:space="0" w:color="auto"/>
            <w:left w:val="none" w:sz="0" w:space="0" w:color="auto"/>
            <w:bottom w:val="none" w:sz="0" w:space="0" w:color="auto"/>
            <w:right w:val="none" w:sz="0" w:space="0" w:color="auto"/>
          </w:divBdr>
        </w:div>
        <w:div w:id="1983923122">
          <w:marLeft w:val="1080"/>
          <w:marRight w:val="0"/>
          <w:marTop w:val="100"/>
          <w:marBottom w:val="0"/>
          <w:divBdr>
            <w:top w:val="none" w:sz="0" w:space="0" w:color="auto"/>
            <w:left w:val="none" w:sz="0" w:space="0" w:color="auto"/>
            <w:bottom w:val="none" w:sz="0" w:space="0" w:color="auto"/>
            <w:right w:val="none" w:sz="0" w:space="0" w:color="auto"/>
          </w:divBdr>
        </w:div>
        <w:div w:id="1487823932">
          <w:marLeft w:val="1080"/>
          <w:marRight w:val="0"/>
          <w:marTop w:val="100"/>
          <w:marBottom w:val="0"/>
          <w:divBdr>
            <w:top w:val="none" w:sz="0" w:space="0" w:color="auto"/>
            <w:left w:val="none" w:sz="0" w:space="0" w:color="auto"/>
            <w:bottom w:val="none" w:sz="0" w:space="0" w:color="auto"/>
            <w:right w:val="none" w:sz="0" w:space="0" w:color="auto"/>
          </w:divBdr>
        </w:div>
        <w:div w:id="970983430">
          <w:marLeft w:val="1080"/>
          <w:marRight w:val="0"/>
          <w:marTop w:val="1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templates\templates\User%20templates\Department%20of%20Health%20-%20Short%20document%20template.dotx" TargetMode="External"/></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k9e62685be2c405f85feeb7d59bccd54 xmlns="b26f12c0-2397-4242-8c80-fd768a193b91">
      <Terms xmlns="http://schemas.microsoft.com/office/infopath/2007/PartnerControls"/>
    </k9e62685be2c405f85feeb7d59bccd54>
    <TaxCatchAll xmlns="b26f12c0-2397-4242-8c80-fd768a193b91"/>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Intranet Document" ma:contentTypeID="0x010100D187BEFF042AB247BFDAEBCEDD44B1C00095B49DA94573E042B2F386EB369D3E46" ma:contentTypeVersion="6" ma:contentTypeDescription="Use this template to create a new Intranet Document" ma:contentTypeScope="" ma:versionID="02a5e495f82b5560465d9612e43a99b5">
  <xsd:schema xmlns:xsd="http://www.w3.org/2001/XMLSchema" xmlns:xs="http://www.w3.org/2001/XMLSchema" xmlns:p="http://schemas.microsoft.com/office/2006/metadata/properties" xmlns:ns2="b26f12c0-2397-4242-8c80-fd768a193b91" targetNamespace="http://schemas.microsoft.com/office/2006/metadata/properties" ma:root="true" ma:fieldsID="52b480a199e2418fc85399c8ace7daef" ns2:_="">
    <xsd:import namespace="b26f12c0-2397-4242-8c80-fd768a193b91"/>
    <xsd:element name="properties">
      <xsd:complexType>
        <xsd:sequence>
          <xsd:element name="documentManagement">
            <xsd:complexType>
              <xsd:all>
                <xsd:element ref="ns2:k9e62685be2c405f85feeb7d59bccd54"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6f12c0-2397-4242-8c80-fd768a193b91" elementFormDefault="qualified">
    <xsd:import namespace="http://schemas.microsoft.com/office/2006/documentManagement/types"/>
    <xsd:import namespace="http://schemas.microsoft.com/office/infopath/2007/PartnerControls"/>
    <xsd:element name="k9e62685be2c405f85feeb7d59bccd54" ma:index="8" nillable="true" ma:taxonomy="true" ma:internalName="k9e62685be2c405f85feeb7d59bccd54" ma:taxonomyFieldName="IntranetTopics" ma:displayName="Intranet Topics" ma:readOnly="false" ma:default="" ma:fieldId="{49e62685-be2c-405f-85fe-eb7d59bccd54}" ma:taxonomyMulti="true" ma:sspId="f2f65582-1933-475e-97e6-ecaac437d71e" ma:termSetId="1a61460b-a038-4df9-a301-e1c01aaddbcd" ma:anchorId="00000000-0000-0000-0000-000000000000" ma:open="true" ma:isKeyword="false">
      <xsd:complexType>
        <xsd:sequence>
          <xsd:element ref="pc:Terms" minOccurs="0" maxOccurs="1"/>
        </xsd:sequence>
      </xsd:complexType>
    </xsd:element>
    <xsd:element name="TaxCatchAll" ma:index="9" nillable="true" ma:displayName="Taxonomy Catch All Column" ma:hidden="true" ma:list="{4ef1f974-7099-405e-9af7-5c384f03feb5}" ma:internalName="TaxCatchAll" ma:showField="CatchAllData" ma:web="28093982-a616-49b5-b657-c9f81c6a5c48">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4ef1f974-7099-405e-9af7-5c384f03feb5}" ma:internalName="TaxCatchAllLabel" ma:readOnly="true" ma:showField="CatchAllDataLabel" ma:web="28093982-a616-49b5-b657-c9f81c6a5c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8E92BD-BF1B-4311-8864-A6E3F59A832C}">
  <ds:schemaRefs>
    <ds:schemaRef ds:uri="http://schemas.openxmlformats.org/officeDocument/2006/bibliography"/>
  </ds:schemaRefs>
</ds:datastoreItem>
</file>

<file path=customXml/itemProps2.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b26f12c0-2397-4242-8c80-fd768a193b91"/>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640B23EB-32CF-4398-B4F2-E241692A44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6f12c0-2397-4242-8c80-fd768a193b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Department of Health - Short document template.dotx</Template>
  <TotalTime>258</TotalTime>
  <Pages>5</Pages>
  <Words>1282</Words>
  <Characters>7815</Characters>
  <Application>Microsoft Office Word</Application>
  <DocSecurity>0</DocSecurity>
  <Lines>134</Lines>
  <Paragraphs>63</Paragraphs>
  <ScaleCrop>false</ScaleCrop>
  <HeadingPairs>
    <vt:vector size="2" baseType="variant">
      <vt:variant>
        <vt:lpstr>Title</vt:lpstr>
      </vt:variant>
      <vt:variant>
        <vt:i4>1</vt:i4>
      </vt:variant>
    </vt:vector>
  </HeadingPairs>
  <TitlesOfParts>
    <vt:vector size="1" baseType="lpstr">
      <vt:lpstr>Office of Drug Control Business Plan: January - June 2022</vt:lpstr>
    </vt:vector>
  </TitlesOfParts>
  <Company>Deptartment of Health And Ageing</Company>
  <LinksUpToDate>false</LinksUpToDate>
  <CharactersWithSpaces>9034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Office of Drug Control Business Plan: January - June 2022</dc:title>
  <dc:subject>business plan</dc:subject>
  <dc:creator>Office of Drug Control</dc:creator>
  <cp:lastModifiedBy>KOLARIK-OREILLY, Kristy</cp:lastModifiedBy>
  <cp:revision>9</cp:revision>
  <cp:lastPrinted>2022-02-25T04:57:00Z</cp:lastPrinted>
  <dcterms:created xsi:type="dcterms:W3CDTF">2022-03-03T21:45:00Z</dcterms:created>
  <dcterms:modified xsi:type="dcterms:W3CDTF">2022-03-09T02:57:00Z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0x010100D187BEFF042AB247BFDAEBCEDD44B1C00095B49DA94573E042B2F386EB369D3E46</vt:lpwstr>
  </property>
</Properties>
</file>