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F0B38" w14:textId="3ACF6328" w:rsidR="00CB104E" w:rsidRPr="00EA66E3" w:rsidRDefault="00FF289F" w:rsidP="00CB104E">
      <w:pPr>
        <w:rPr>
          <w:b/>
          <w:bCs/>
          <w:sz w:val="17"/>
          <w:szCs w:val="17"/>
        </w:rPr>
      </w:pPr>
      <w:r>
        <w:br w:type="page"/>
      </w:r>
      <w:r w:rsidR="00CB104E" w:rsidRPr="00EA66E3">
        <w:rPr>
          <w:b/>
          <w:bCs/>
          <w:sz w:val="17"/>
          <w:szCs w:val="17"/>
        </w:rPr>
        <w:lastRenderedPageBreak/>
        <w:t>Copyright</w:t>
      </w:r>
    </w:p>
    <w:p w14:paraId="140E449B" w14:textId="77777777" w:rsidR="00CB104E" w:rsidRPr="00EA66E3" w:rsidRDefault="00CB104E" w:rsidP="00CB104E">
      <w:pPr>
        <w:rPr>
          <w:rFonts w:ascii="Segoe UI" w:hAnsi="Segoe UI" w:cs="Segoe UI"/>
          <w:sz w:val="17"/>
          <w:szCs w:val="17"/>
        </w:rPr>
      </w:pPr>
      <w:r w:rsidRPr="00EA66E3">
        <w:rPr>
          <w:rFonts w:ascii="Segoe UI" w:hAnsi="Segoe UI" w:cs="Segoe UI"/>
          <w:sz w:val="17"/>
          <w:szCs w:val="17"/>
        </w:rPr>
        <w:t>© Commonwealth of Australia 2022</w:t>
      </w:r>
    </w:p>
    <w:p w14:paraId="026A98F2" w14:textId="2F82881F" w:rsidR="00CB104E" w:rsidRPr="00EA66E3" w:rsidRDefault="00CB104E" w:rsidP="00CB104E">
      <w:pPr>
        <w:rPr>
          <w:rFonts w:ascii="Segoe UI" w:hAnsi="Segoe UI" w:cs="Segoe UI"/>
          <w:sz w:val="17"/>
          <w:szCs w:val="17"/>
        </w:rPr>
      </w:pPr>
      <w:r w:rsidRPr="00EA66E3">
        <w:rPr>
          <w:rFonts w:ascii="Segoe UI" w:hAnsi="Segoe UI" w:cs="Segoe UI"/>
          <w:sz w:val="17"/>
          <w:szCs w:val="17"/>
        </w:rPr>
        <w:t xml:space="preserve">This work is copyright. You may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by the Copyright Act 1968 or allowed by this copyright notice, all other rights are </w:t>
      </w:r>
      <w:r w:rsidR="00010016" w:rsidRPr="00EA66E3">
        <w:rPr>
          <w:rFonts w:ascii="Segoe UI" w:hAnsi="Segoe UI" w:cs="Segoe UI"/>
          <w:sz w:val="17"/>
          <w:szCs w:val="17"/>
        </w:rPr>
        <w:t>reserved,</w:t>
      </w:r>
      <w:r w:rsidRPr="00EA66E3">
        <w:rPr>
          <w:rFonts w:ascii="Segoe UI" w:hAnsi="Segoe UI" w:cs="Segoe UI"/>
          <w:sz w:val="17"/>
          <w:szCs w:val="17"/>
        </w:rPr>
        <w:t xml:space="preserve"> and you are not allowed to reproduce the whole or any part of this work in any way (electronic or otherwise) without first being given specific written permission from the Commonwealth to do so. Requests and inquiries concerning reproduction and rights </w:t>
      </w:r>
      <w:r w:rsidR="00A0543F">
        <w:rPr>
          <w:rFonts w:ascii="Segoe UI" w:hAnsi="Segoe UI" w:cs="Segoe UI"/>
          <w:sz w:val="17"/>
          <w:szCs w:val="17"/>
        </w:rPr>
        <w:t xml:space="preserve">should </w:t>
      </w:r>
      <w:r w:rsidRPr="00EA66E3">
        <w:rPr>
          <w:rFonts w:ascii="Segoe UI" w:hAnsi="Segoe UI" w:cs="Segoe UI"/>
          <w:sz w:val="17"/>
          <w:szCs w:val="17"/>
        </w:rPr>
        <w:t>be sent to</w:t>
      </w:r>
      <w:r w:rsidR="00A0543F">
        <w:rPr>
          <w:rFonts w:ascii="Segoe UI" w:hAnsi="Segoe UI" w:cs="Segoe UI"/>
          <w:sz w:val="17"/>
          <w:szCs w:val="17"/>
        </w:rPr>
        <w:t xml:space="preserve"> </w:t>
      </w:r>
      <w:hyperlink r:id="rId11" w:history="1">
        <w:r w:rsidR="00A0543F" w:rsidRPr="008E37AB">
          <w:rPr>
            <w:rStyle w:val="Hyperlink"/>
            <w:rFonts w:ascii="Segoe UI" w:hAnsi="Segoe UI" w:cs="Segoe UI"/>
            <w:sz w:val="17"/>
            <w:szCs w:val="17"/>
          </w:rPr>
          <w:t>MCS@health.gov.au</w:t>
        </w:r>
      </w:hyperlink>
      <w:r w:rsidR="00A0543F">
        <w:rPr>
          <w:rFonts w:ascii="Segoe UI" w:hAnsi="Segoe UI" w:cs="Segoe UI"/>
          <w:sz w:val="17"/>
          <w:szCs w:val="17"/>
        </w:rPr>
        <w:t xml:space="preserve">.   </w:t>
      </w:r>
    </w:p>
    <w:p w14:paraId="4E7A3CF4" w14:textId="77777777" w:rsidR="00CB104E" w:rsidRDefault="00CB104E" w:rsidP="00CB104E"/>
    <w:p w14:paraId="42812998" w14:textId="77777777" w:rsidR="00CB104E" w:rsidRDefault="00CB104E" w:rsidP="00CB104E"/>
    <w:p w14:paraId="70258B9A" w14:textId="77777777" w:rsidR="00CB104E" w:rsidRDefault="00CB104E" w:rsidP="00CB104E"/>
    <w:p w14:paraId="6732EF79" w14:textId="77777777" w:rsidR="00901421" w:rsidRDefault="00901421">
      <w:r>
        <w:br w:type="page"/>
      </w:r>
    </w:p>
    <w:sdt>
      <w:sdtPr>
        <w:rPr>
          <w:rFonts w:ascii="Arial" w:eastAsia="Times New Roman" w:hAnsi="Arial" w:cs="Arial"/>
          <w:color w:val="auto"/>
          <w:sz w:val="28"/>
          <w:szCs w:val="28"/>
          <w:lang w:val="en-AU"/>
        </w:rPr>
        <w:id w:val="849912136"/>
        <w:docPartObj>
          <w:docPartGallery w:val="Table of Contents"/>
          <w:docPartUnique/>
        </w:docPartObj>
      </w:sdtPr>
      <w:sdtEndPr>
        <w:rPr>
          <w:b/>
          <w:bCs/>
          <w:noProof/>
        </w:rPr>
      </w:sdtEndPr>
      <w:sdtContent>
        <w:p w14:paraId="7453A2AD" w14:textId="5E07AADE" w:rsidR="00CB104E" w:rsidRPr="00AA73B7" w:rsidRDefault="00CB104E" w:rsidP="00CB104E">
          <w:pPr>
            <w:pStyle w:val="TOCHeading"/>
            <w:rPr>
              <w:rFonts w:ascii="Arial" w:hAnsi="Arial" w:cs="Arial"/>
              <w:sz w:val="28"/>
              <w:szCs w:val="28"/>
            </w:rPr>
          </w:pPr>
          <w:r w:rsidRPr="00AA73B7">
            <w:rPr>
              <w:rFonts w:ascii="Arial" w:hAnsi="Arial" w:cs="Arial"/>
              <w:sz w:val="28"/>
              <w:szCs w:val="28"/>
            </w:rPr>
            <w:t>Contents</w:t>
          </w:r>
        </w:p>
        <w:p w14:paraId="29016AD4" w14:textId="6840E590" w:rsidR="00263393" w:rsidRDefault="00CB104E">
          <w:pPr>
            <w:pStyle w:val="TOC2"/>
            <w:tabs>
              <w:tab w:val="right" w:leader="dot" w:pos="9060"/>
            </w:tabs>
            <w:rPr>
              <w:rFonts w:asciiTheme="minorHAnsi" w:eastAsiaTheme="minorEastAsia" w:hAnsiTheme="minorHAnsi" w:cstheme="minorBidi"/>
              <w:noProof/>
              <w:szCs w:val="22"/>
              <w:lang w:eastAsia="en-AU"/>
            </w:rPr>
          </w:pPr>
          <w:r w:rsidRPr="00AA73B7">
            <w:rPr>
              <w:rFonts w:cs="Arial"/>
              <w:sz w:val="28"/>
              <w:szCs w:val="28"/>
            </w:rPr>
            <w:fldChar w:fldCharType="begin"/>
          </w:r>
          <w:r w:rsidRPr="00AA73B7">
            <w:rPr>
              <w:rFonts w:cs="Arial"/>
              <w:sz w:val="28"/>
              <w:szCs w:val="28"/>
            </w:rPr>
            <w:instrText xml:space="preserve"> TOC \o "1-3" \h \z \u </w:instrText>
          </w:r>
          <w:r w:rsidRPr="00AA73B7">
            <w:rPr>
              <w:rFonts w:cs="Arial"/>
              <w:sz w:val="28"/>
              <w:szCs w:val="28"/>
            </w:rPr>
            <w:fldChar w:fldCharType="separate"/>
          </w:r>
          <w:hyperlink w:anchor="_Toc112663419" w:history="1">
            <w:r w:rsidR="00263393" w:rsidRPr="00430185">
              <w:rPr>
                <w:rStyle w:val="Hyperlink"/>
                <w:rFonts w:ascii="Segoe UI" w:hAnsi="Segoe UI" w:cs="Segoe UI"/>
                <w:noProof/>
              </w:rPr>
              <w:t>Message from the Deputy Secretary</w:t>
            </w:r>
            <w:r w:rsidR="00263393">
              <w:rPr>
                <w:noProof/>
                <w:webHidden/>
              </w:rPr>
              <w:tab/>
            </w:r>
            <w:r w:rsidR="00263393">
              <w:rPr>
                <w:noProof/>
                <w:webHidden/>
              </w:rPr>
              <w:fldChar w:fldCharType="begin"/>
            </w:r>
            <w:r w:rsidR="00263393">
              <w:rPr>
                <w:noProof/>
                <w:webHidden/>
              </w:rPr>
              <w:instrText xml:space="preserve"> PAGEREF _Toc112663419 \h </w:instrText>
            </w:r>
            <w:r w:rsidR="00263393">
              <w:rPr>
                <w:noProof/>
                <w:webHidden/>
              </w:rPr>
            </w:r>
            <w:r w:rsidR="00263393">
              <w:rPr>
                <w:noProof/>
                <w:webHidden/>
              </w:rPr>
              <w:fldChar w:fldCharType="separate"/>
            </w:r>
            <w:r w:rsidR="00901421">
              <w:rPr>
                <w:noProof/>
                <w:webHidden/>
              </w:rPr>
              <w:t>4</w:t>
            </w:r>
            <w:r w:rsidR="00263393">
              <w:rPr>
                <w:noProof/>
                <w:webHidden/>
              </w:rPr>
              <w:fldChar w:fldCharType="end"/>
            </w:r>
          </w:hyperlink>
        </w:p>
        <w:p w14:paraId="366C056F" w14:textId="1DA43E55" w:rsidR="00263393" w:rsidRDefault="00396365">
          <w:pPr>
            <w:pStyle w:val="TOC2"/>
            <w:tabs>
              <w:tab w:val="right" w:leader="dot" w:pos="9060"/>
            </w:tabs>
            <w:rPr>
              <w:rFonts w:asciiTheme="minorHAnsi" w:eastAsiaTheme="minorEastAsia" w:hAnsiTheme="minorHAnsi" w:cstheme="minorBidi"/>
              <w:noProof/>
              <w:szCs w:val="22"/>
              <w:lang w:eastAsia="en-AU"/>
            </w:rPr>
          </w:pPr>
          <w:hyperlink w:anchor="_Toc112663420" w:history="1">
            <w:r w:rsidR="00263393" w:rsidRPr="00430185">
              <w:rPr>
                <w:rStyle w:val="Hyperlink"/>
                <w:rFonts w:ascii="Segoe UI" w:hAnsi="Segoe UI" w:cs="Segoe UI"/>
                <w:noProof/>
              </w:rPr>
              <w:t>Our purpose</w:t>
            </w:r>
            <w:r w:rsidR="00263393">
              <w:rPr>
                <w:noProof/>
                <w:webHidden/>
              </w:rPr>
              <w:tab/>
            </w:r>
            <w:r w:rsidR="00263393">
              <w:rPr>
                <w:noProof/>
                <w:webHidden/>
              </w:rPr>
              <w:fldChar w:fldCharType="begin"/>
            </w:r>
            <w:r w:rsidR="00263393">
              <w:rPr>
                <w:noProof/>
                <w:webHidden/>
              </w:rPr>
              <w:instrText xml:space="preserve"> PAGEREF _Toc112663420 \h </w:instrText>
            </w:r>
            <w:r w:rsidR="00263393">
              <w:rPr>
                <w:noProof/>
                <w:webHidden/>
              </w:rPr>
            </w:r>
            <w:r w:rsidR="00263393">
              <w:rPr>
                <w:noProof/>
                <w:webHidden/>
              </w:rPr>
              <w:fldChar w:fldCharType="separate"/>
            </w:r>
            <w:r w:rsidR="00901421">
              <w:rPr>
                <w:noProof/>
                <w:webHidden/>
              </w:rPr>
              <w:t>5</w:t>
            </w:r>
            <w:r w:rsidR="00263393">
              <w:rPr>
                <w:noProof/>
                <w:webHidden/>
              </w:rPr>
              <w:fldChar w:fldCharType="end"/>
            </w:r>
          </w:hyperlink>
        </w:p>
        <w:p w14:paraId="69193290" w14:textId="52BFF86C" w:rsidR="00263393" w:rsidRDefault="00396365">
          <w:pPr>
            <w:pStyle w:val="TOC2"/>
            <w:tabs>
              <w:tab w:val="right" w:leader="dot" w:pos="9060"/>
            </w:tabs>
            <w:rPr>
              <w:rFonts w:asciiTheme="minorHAnsi" w:eastAsiaTheme="minorEastAsia" w:hAnsiTheme="minorHAnsi" w:cstheme="minorBidi"/>
              <w:noProof/>
              <w:szCs w:val="22"/>
              <w:lang w:eastAsia="en-AU"/>
            </w:rPr>
          </w:pPr>
          <w:hyperlink w:anchor="_Toc112663421" w:history="1">
            <w:r w:rsidR="00263393" w:rsidRPr="00430185">
              <w:rPr>
                <w:rStyle w:val="Hyperlink"/>
                <w:rFonts w:ascii="Segoe UI" w:hAnsi="Segoe UI" w:cs="Segoe UI"/>
                <w:noProof/>
              </w:rPr>
              <w:t>Our vision</w:t>
            </w:r>
            <w:r w:rsidR="00263393">
              <w:rPr>
                <w:noProof/>
                <w:webHidden/>
              </w:rPr>
              <w:tab/>
            </w:r>
            <w:r w:rsidR="00263393">
              <w:rPr>
                <w:noProof/>
                <w:webHidden/>
              </w:rPr>
              <w:fldChar w:fldCharType="begin"/>
            </w:r>
            <w:r w:rsidR="00263393">
              <w:rPr>
                <w:noProof/>
                <w:webHidden/>
              </w:rPr>
              <w:instrText xml:space="preserve"> PAGEREF _Toc112663421 \h </w:instrText>
            </w:r>
            <w:r w:rsidR="00263393">
              <w:rPr>
                <w:noProof/>
                <w:webHidden/>
              </w:rPr>
            </w:r>
            <w:r w:rsidR="00263393">
              <w:rPr>
                <w:noProof/>
                <w:webHidden/>
              </w:rPr>
              <w:fldChar w:fldCharType="separate"/>
            </w:r>
            <w:r w:rsidR="00901421">
              <w:rPr>
                <w:noProof/>
                <w:webHidden/>
              </w:rPr>
              <w:t>5</w:t>
            </w:r>
            <w:r w:rsidR="00263393">
              <w:rPr>
                <w:noProof/>
                <w:webHidden/>
              </w:rPr>
              <w:fldChar w:fldCharType="end"/>
            </w:r>
          </w:hyperlink>
        </w:p>
        <w:p w14:paraId="06B5A3D8" w14:textId="07D2B237" w:rsidR="00263393" w:rsidRDefault="00396365">
          <w:pPr>
            <w:pStyle w:val="TOC2"/>
            <w:tabs>
              <w:tab w:val="right" w:leader="dot" w:pos="9060"/>
            </w:tabs>
            <w:rPr>
              <w:rFonts w:asciiTheme="minorHAnsi" w:eastAsiaTheme="minorEastAsia" w:hAnsiTheme="minorHAnsi" w:cstheme="minorBidi"/>
              <w:noProof/>
              <w:szCs w:val="22"/>
              <w:lang w:eastAsia="en-AU"/>
            </w:rPr>
          </w:pPr>
          <w:hyperlink w:anchor="_Toc112663422" w:history="1">
            <w:r w:rsidR="00263393" w:rsidRPr="00430185">
              <w:rPr>
                <w:rStyle w:val="Hyperlink"/>
                <w:rFonts w:ascii="Segoe UI" w:hAnsi="Segoe UI" w:cs="Segoe UI"/>
                <w:noProof/>
              </w:rPr>
              <w:t>Measuring our performance</w:t>
            </w:r>
            <w:r w:rsidR="00263393">
              <w:rPr>
                <w:noProof/>
                <w:webHidden/>
              </w:rPr>
              <w:tab/>
            </w:r>
            <w:r w:rsidR="00263393">
              <w:rPr>
                <w:noProof/>
                <w:webHidden/>
              </w:rPr>
              <w:fldChar w:fldCharType="begin"/>
            </w:r>
            <w:r w:rsidR="00263393">
              <w:rPr>
                <w:noProof/>
                <w:webHidden/>
              </w:rPr>
              <w:instrText xml:space="preserve"> PAGEREF _Toc112663422 \h </w:instrText>
            </w:r>
            <w:r w:rsidR="00263393">
              <w:rPr>
                <w:noProof/>
                <w:webHidden/>
              </w:rPr>
            </w:r>
            <w:r w:rsidR="00263393">
              <w:rPr>
                <w:noProof/>
                <w:webHidden/>
              </w:rPr>
              <w:fldChar w:fldCharType="separate"/>
            </w:r>
            <w:r w:rsidR="00901421">
              <w:rPr>
                <w:noProof/>
                <w:webHidden/>
              </w:rPr>
              <w:t>6</w:t>
            </w:r>
            <w:r w:rsidR="00263393">
              <w:rPr>
                <w:noProof/>
                <w:webHidden/>
              </w:rPr>
              <w:fldChar w:fldCharType="end"/>
            </w:r>
          </w:hyperlink>
        </w:p>
        <w:p w14:paraId="015B4DAB" w14:textId="674E67CC" w:rsidR="00263393" w:rsidRDefault="00396365">
          <w:pPr>
            <w:pStyle w:val="TOC2"/>
            <w:tabs>
              <w:tab w:val="right" w:leader="dot" w:pos="9060"/>
            </w:tabs>
            <w:rPr>
              <w:rFonts w:asciiTheme="minorHAnsi" w:eastAsiaTheme="minorEastAsia" w:hAnsiTheme="minorHAnsi" w:cstheme="minorBidi"/>
              <w:noProof/>
              <w:szCs w:val="22"/>
              <w:lang w:eastAsia="en-AU"/>
            </w:rPr>
          </w:pPr>
          <w:hyperlink w:anchor="_Toc112663423" w:history="1">
            <w:r w:rsidR="00263393" w:rsidRPr="00430185">
              <w:rPr>
                <w:rStyle w:val="Hyperlink"/>
                <w:rFonts w:ascii="Segoe UI" w:hAnsi="Segoe UI" w:cs="Segoe UI"/>
                <w:noProof/>
              </w:rPr>
              <w:t>Our strategic objectives</w:t>
            </w:r>
            <w:r w:rsidR="00263393">
              <w:rPr>
                <w:noProof/>
                <w:webHidden/>
              </w:rPr>
              <w:tab/>
            </w:r>
            <w:r w:rsidR="00263393">
              <w:rPr>
                <w:noProof/>
                <w:webHidden/>
              </w:rPr>
              <w:fldChar w:fldCharType="begin"/>
            </w:r>
            <w:r w:rsidR="00263393">
              <w:rPr>
                <w:noProof/>
                <w:webHidden/>
              </w:rPr>
              <w:instrText xml:space="preserve"> PAGEREF _Toc112663423 \h </w:instrText>
            </w:r>
            <w:r w:rsidR="00263393">
              <w:rPr>
                <w:noProof/>
                <w:webHidden/>
              </w:rPr>
            </w:r>
            <w:r w:rsidR="00263393">
              <w:rPr>
                <w:noProof/>
                <w:webHidden/>
              </w:rPr>
              <w:fldChar w:fldCharType="separate"/>
            </w:r>
            <w:r w:rsidR="00901421">
              <w:rPr>
                <w:noProof/>
                <w:webHidden/>
              </w:rPr>
              <w:t>7</w:t>
            </w:r>
            <w:r w:rsidR="00263393">
              <w:rPr>
                <w:noProof/>
                <w:webHidden/>
              </w:rPr>
              <w:fldChar w:fldCharType="end"/>
            </w:r>
          </w:hyperlink>
        </w:p>
        <w:p w14:paraId="26BF5571" w14:textId="269B7AF1" w:rsidR="00263393" w:rsidRDefault="00396365">
          <w:pPr>
            <w:pStyle w:val="TOC3"/>
            <w:tabs>
              <w:tab w:val="right" w:leader="dot" w:pos="9060"/>
            </w:tabs>
            <w:rPr>
              <w:rFonts w:asciiTheme="minorHAnsi" w:eastAsiaTheme="minorEastAsia" w:hAnsiTheme="minorHAnsi" w:cstheme="minorBidi"/>
              <w:noProof/>
              <w:szCs w:val="22"/>
              <w:lang w:eastAsia="en-AU"/>
            </w:rPr>
          </w:pPr>
          <w:hyperlink w:anchor="_Toc112663424" w:history="1">
            <w:r w:rsidR="00263393" w:rsidRPr="00430185">
              <w:rPr>
                <w:rStyle w:val="Hyperlink"/>
                <w:noProof/>
              </w:rPr>
              <w:t>Strategic objective 1 – Meet our international obligations</w:t>
            </w:r>
            <w:r w:rsidR="00263393">
              <w:rPr>
                <w:noProof/>
                <w:webHidden/>
              </w:rPr>
              <w:tab/>
            </w:r>
            <w:r w:rsidR="00263393">
              <w:rPr>
                <w:noProof/>
                <w:webHidden/>
              </w:rPr>
              <w:fldChar w:fldCharType="begin"/>
            </w:r>
            <w:r w:rsidR="00263393">
              <w:rPr>
                <w:noProof/>
                <w:webHidden/>
              </w:rPr>
              <w:instrText xml:space="preserve"> PAGEREF _Toc112663424 \h </w:instrText>
            </w:r>
            <w:r w:rsidR="00263393">
              <w:rPr>
                <w:noProof/>
                <w:webHidden/>
              </w:rPr>
            </w:r>
            <w:r w:rsidR="00263393">
              <w:rPr>
                <w:noProof/>
                <w:webHidden/>
              </w:rPr>
              <w:fldChar w:fldCharType="separate"/>
            </w:r>
            <w:r w:rsidR="00901421">
              <w:rPr>
                <w:noProof/>
                <w:webHidden/>
              </w:rPr>
              <w:t>7</w:t>
            </w:r>
            <w:r w:rsidR="00263393">
              <w:rPr>
                <w:noProof/>
                <w:webHidden/>
              </w:rPr>
              <w:fldChar w:fldCharType="end"/>
            </w:r>
          </w:hyperlink>
        </w:p>
        <w:p w14:paraId="153D8BFF" w14:textId="26061EAB" w:rsidR="00263393" w:rsidRDefault="00396365">
          <w:pPr>
            <w:pStyle w:val="TOC3"/>
            <w:tabs>
              <w:tab w:val="right" w:leader="dot" w:pos="9060"/>
            </w:tabs>
            <w:rPr>
              <w:rFonts w:asciiTheme="minorHAnsi" w:eastAsiaTheme="minorEastAsia" w:hAnsiTheme="minorHAnsi" w:cstheme="minorBidi"/>
              <w:noProof/>
              <w:szCs w:val="22"/>
              <w:lang w:eastAsia="en-AU"/>
            </w:rPr>
          </w:pPr>
          <w:hyperlink w:anchor="_Toc112663425" w:history="1">
            <w:r w:rsidR="00263393" w:rsidRPr="00430185">
              <w:rPr>
                <w:rStyle w:val="Hyperlink"/>
                <w:noProof/>
              </w:rPr>
              <w:t>Strategic objective 2 – Actively and effectively engage with our stakeholders</w:t>
            </w:r>
            <w:r w:rsidR="00263393">
              <w:rPr>
                <w:noProof/>
                <w:webHidden/>
              </w:rPr>
              <w:tab/>
            </w:r>
            <w:r w:rsidR="00263393">
              <w:rPr>
                <w:noProof/>
                <w:webHidden/>
              </w:rPr>
              <w:fldChar w:fldCharType="begin"/>
            </w:r>
            <w:r w:rsidR="00263393">
              <w:rPr>
                <w:noProof/>
                <w:webHidden/>
              </w:rPr>
              <w:instrText xml:space="preserve"> PAGEREF _Toc112663425 \h </w:instrText>
            </w:r>
            <w:r w:rsidR="00263393">
              <w:rPr>
                <w:noProof/>
                <w:webHidden/>
              </w:rPr>
            </w:r>
            <w:r w:rsidR="00263393">
              <w:rPr>
                <w:noProof/>
                <w:webHidden/>
              </w:rPr>
              <w:fldChar w:fldCharType="separate"/>
            </w:r>
            <w:r w:rsidR="00901421">
              <w:rPr>
                <w:noProof/>
                <w:webHidden/>
              </w:rPr>
              <w:t>7</w:t>
            </w:r>
            <w:r w:rsidR="00263393">
              <w:rPr>
                <w:noProof/>
                <w:webHidden/>
              </w:rPr>
              <w:fldChar w:fldCharType="end"/>
            </w:r>
          </w:hyperlink>
        </w:p>
        <w:p w14:paraId="75308099" w14:textId="6E18C560" w:rsidR="00263393" w:rsidRDefault="00396365">
          <w:pPr>
            <w:pStyle w:val="TOC3"/>
            <w:tabs>
              <w:tab w:val="right" w:leader="dot" w:pos="9060"/>
            </w:tabs>
            <w:rPr>
              <w:rFonts w:asciiTheme="minorHAnsi" w:eastAsiaTheme="minorEastAsia" w:hAnsiTheme="minorHAnsi" w:cstheme="minorBidi"/>
              <w:noProof/>
              <w:szCs w:val="22"/>
              <w:lang w:eastAsia="en-AU"/>
            </w:rPr>
          </w:pPr>
          <w:hyperlink w:anchor="_Toc112663426" w:history="1">
            <w:r w:rsidR="00263393" w:rsidRPr="00430185">
              <w:rPr>
                <w:rStyle w:val="Hyperlink"/>
                <w:noProof/>
              </w:rPr>
              <w:t>Strategic objective 3 – Promote compliance with regulatory requirements</w:t>
            </w:r>
            <w:r w:rsidR="00263393">
              <w:rPr>
                <w:noProof/>
                <w:webHidden/>
              </w:rPr>
              <w:tab/>
            </w:r>
            <w:r w:rsidR="00263393">
              <w:rPr>
                <w:noProof/>
                <w:webHidden/>
              </w:rPr>
              <w:fldChar w:fldCharType="begin"/>
            </w:r>
            <w:r w:rsidR="00263393">
              <w:rPr>
                <w:noProof/>
                <w:webHidden/>
              </w:rPr>
              <w:instrText xml:space="preserve"> PAGEREF _Toc112663426 \h </w:instrText>
            </w:r>
            <w:r w:rsidR="00263393">
              <w:rPr>
                <w:noProof/>
                <w:webHidden/>
              </w:rPr>
            </w:r>
            <w:r w:rsidR="00263393">
              <w:rPr>
                <w:noProof/>
                <w:webHidden/>
              </w:rPr>
              <w:fldChar w:fldCharType="separate"/>
            </w:r>
            <w:r w:rsidR="00901421">
              <w:rPr>
                <w:noProof/>
                <w:webHidden/>
              </w:rPr>
              <w:t>8</w:t>
            </w:r>
            <w:r w:rsidR="00263393">
              <w:rPr>
                <w:noProof/>
                <w:webHidden/>
              </w:rPr>
              <w:fldChar w:fldCharType="end"/>
            </w:r>
          </w:hyperlink>
        </w:p>
        <w:p w14:paraId="60C276A9" w14:textId="6C97CB30" w:rsidR="00263393" w:rsidRDefault="00396365">
          <w:pPr>
            <w:pStyle w:val="TOC3"/>
            <w:tabs>
              <w:tab w:val="right" w:leader="dot" w:pos="9060"/>
            </w:tabs>
            <w:rPr>
              <w:rFonts w:asciiTheme="minorHAnsi" w:eastAsiaTheme="minorEastAsia" w:hAnsiTheme="minorHAnsi" w:cstheme="minorBidi"/>
              <w:noProof/>
              <w:szCs w:val="22"/>
              <w:lang w:eastAsia="en-AU"/>
            </w:rPr>
          </w:pPr>
          <w:hyperlink w:anchor="_Toc112663427" w:history="1">
            <w:r w:rsidR="00263393" w:rsidRPr="00430185">
              <w:rPr>
                <w:rStyle w:val="Hyperlink"/>
                <w:noProof/>
              </w:rPr>
              <w:t>Strategic objective 4 – Reform ODC’s Business Processes and Systems</w:t>
            </w:r>
            <w:r w:rsidR="00263393">
              <w:rPr>
                <w:noProof/>
                <w:webHidden/>
              </w:rPr>
              <w:tab/>
            </w:r>
            <w:r w:rsidR="00263393">
              <w:rPr>
                <w:noProof/>
                <w:webHidden/>
              </w:rPr>
              <w:fldChar w:fldCharType="begin"/>
            </w:r>
            <w:r w:rsidR="00263393">
              <w:rPr>
                <w:noProof/>
                <w:webHidden/>
              </w:rPr>
              <w:instrText xml:space="preserve"> PAGEREF _Toc112663427 \h </w:instrText>
            </w:r>
            <w:r w:rsidR="00263393">
              <w:rPr>
                <w:noProof/>
                <w:webHidden/>
              </w:rPr>
            </w:r>
            <w:r w:rsidR="00263393">
              <w:rPr>
                <w:noProof/>
                <w:webHidden/>
              </w:rPr>
              <w:fldChar w:fldCharType="separate"/>
            </w:r>
            <w:r w:rsidR="00901421">
              <w:rPr>
                <w:noProof/>
                <w:webHidden/>
              </w:rPr>
              <w:t>9</w:t>
            </w:r>
            <w:r w:rsidR="00263393">
              <w:rPr>
                <w:noProof/>
                <w:webHidden/>
              </w:rPr>
              <w:fldChar w:fldCharType="end"/>
            </w:r>
          </w:hyperlink>
        </w:p>
        <w:p w14:paraId="1F4F2A68" w14:textId="6B19F638" w:rsidR="00263393" w:rsidRDefault="00396365">
          <w:pPr>
            <w:pStyle w:val="TOC2"/>
            <w:tabs>
              <w:tab w:val="right" w:leader="dot" w:pos="9060"/>
            </w:tabs>
            <w:rPr>
              <w:rFonts w:asciiTheme="minorHAnsi" w:eastAsiaTheme="minorEastAsia" w:hAnsiTheme="minorHAnsi" w:cstheme="minorBidi"/>
              <w:noProof/>
              <w:szCs w:val="22"/>
              <w:lang w:eastAsia="en-AU"/>
            </w:rPr>
          </w:pPr>
          <w:hyperlink w:anchor="_Toc112663428" w:history="1">
            <w:r w:rsidR="00263393" w:rsidRPr="00430185">
              <w:rPr>
                <w:rStyle w:val="Hyperlink"/>
                <w:rFonts w:ascii="Segoe UI" w:hAnsi="Segoe UI" w:cs="Segoe UI"/>
                <w:noProof/>
              </w:rPr>
              <w:t>Reporting</w:t>
            </w:r>
            <w:r w:rsidR="00263393">
              <w:rPr>
                <w:noProof/>
                <w:webHidden/>
              </w:rPr>
              <w:tab/>
            </w:r>
            <w:r w:rsidR="00263393">
              <w:rPr>
                <w:noProof/>
                <w:webHidden/>
              </w:rPr>
              <w:fldChar w:fldCharType="begin"/>
            </w:r>
            <w:r w:rsidR="00263393">
              <w:rPr>
                <w:noProof/>
                <w:webHidden/>
              </w:rPr>
              <w:instrText xml:space="preserve"> PAGEREF _Toc112663428 \h </w:instrText>
            </w:r>
            <w:r w:rsidR="00263393">
              <w:rPr>
                <w:noProof/>
                <w:webHidden/>
              </w:rPr>
            </w:r>
            <w:r w:rsidR="00263393">
              <w:rPr>
                <w:noProof/>
                <w:webHidden/>
              </w:rPr>
              <w:fldChar w:fldCharType="separate"/>
            </w:r>
            <w:r w:rsidR="00901421">
              <w:rPr>
                <w:noProof/>
                <w:webHidden/>
              </w:rPr>
              <w:t>9</w:t>
            </w:r>
            <w:r w:rsidR="00263393">
              <w:rPr>
                <w:noProof/>
                <w:webHidden/>
              </w:rPr>
              <w:fldChar w:fldCharType="end"/>
            </w:r>
          </w:hyperlink>
        </w:p>
        <w:p w14:paraId="4B2AFF1E" w14:textId="3B1A98AB" w:rsidR="00CB104E" w:rsidRPr="00AA73B7" w:rsidRDefault="00CB104E" w:rsidP="00CB104E">
          <w:pPr>
            <w:rPr>
              <w:rFonts w:cs="Arial"/>
              <w:sz w:val="28"/>
              <w:szCs w:val="28"/>
            </w:rPr>
          </w:pPr>
          <w:r w:rsidRPr="00AA73B7">
            <w:rPr>
              <w:rFonts w:cs="Arial"/>
              <w:b/>
              <w:bCs/>
              <w:noProof/>
              <w:sz w:val="28"/>
              <w:szCs w:val="28"/>
            </w:rPr>
            <w:fldChar w:fldCharType="end"/>
          </w:r>
        </w:p>
      </w:sdtContent>
    </w:sdt>
    <w:p w14:paraId="4B89FBAA" w14:textId="77777777" w:rsidR="00CB104E" w:rsidRPr="00AA73B7" w:rsidRDefault="00CB104E" w:rsidP="00CB104E">
      <w:pPr>
        <w:rPr>
          <w:rFonts w:cs="Arial"/>
          <w:b/>
          <w:bCs/>
          <w:sz w:val="28"/>
          <w:szCs w:val="28"/>
          <w:highlight w:val="yellow"/>
        </w:rPr>
      </w:pPr>
    </w:p>
    <w:p w14:paraId="18553D96" w14:textId="77777777" w:rsidR="006868C8" w:rsidRDefault="006868C8">
      <w:pPr>
        <w:rPr>
          <w:rFonts w:ascii="Segoe UI" w:hAnsi="Segoe UI" w:cs="Segoe UI"/>
          <w:color w:val="333399"/>
          <w:sz w:val="38"/>
          <w:szCs w:val="38"/>
        </w:rPr>
      </w:pPr>
      <w:bookmarkStart w:id="0" w:name="_Toc18335743"/>
      <w:bookmarkStart w:id="1" w:name="_Toc101442832"/>
      <w:bookmarkStart w:id="2" w:name="_Toc107336668"/>
      <w:bookmarkStart w:id="3" w:name="_Toc10105098"/>
      <w:r>
        <w:rPr>
          <w:rFonts w:ascii="Segoe UI" w:hAnsi="Segoe UI" w:cs="Segoe UI"/>
          <w:bCs/>
          <w:iCs/>
          <w:color w:val="333399"/>
          <w:sz w:val="38"/>
          <w:szCs w:val="38"/>
        </w:rPr>
        <w:br w:type="page"/>
      </w:r>
    </w:p>
    <w:p w14:paraId="791C9B45" w14:textId="58322F81" w:rsidR="00CB104E" w:rsidRPr="00AA73B7" w:rsidRDefault="00CB104E" w:rsidP="00CB104E">
      <w:pPr>
        <w:pStyle w:val="Heading2"/>
        <w:keepLines/>
        <w:spacing w:before="480" w:after="120" w:line="240" w:lineRule="atLeast"/>
        <w:rPr>
          <w:rFonts w:ascii="Segoe UI" w:hAnsi="Segoe UI" w:cs="Segoe UI"/>
          <w:bCs w:val="0"/>
          <w:iCs w:val="0"/>
          <w:color w:val="333399"/>
          <w:sz w:val="38"/>
          <w:szCs w:val="38"/>
        </w:rPr>
      </w:pPr>
      <w:bookmarkStart w:id="4" w:name="_Toc112663419"/>
      <w:r w:rsidRPr="00AA73B7">
        <w:rPr>
          <w:rFonts w:ascii="Segoe UI" w:hAnsi="Segoe UI" w:cs="Segoe UI"/>
          <w:bCs w:val="0"/>
          <w:iCs w:val="0"/>
          <w:color w:val="333399"/>
          <w:sz w:val="38"/>
          <w:szCs w:val="38"/>
        </w:rPr>
        <w:lastRenderedPageBreak/>
        <w:t>Message from the Deputy Secretary</w:t>
      </w:r>
      <w:bookmarkEnd w:id="0"/>
      <w:bookmarkEnd w:id="1"/>
      <w:bookmarkEnd w:id="2"/>
      <w:bookmarkEnd w:id="4"/>
    </w:p>
    <w:bookmarkEnd w:id="3"/>
    <w:p w14:paraId="597D8F57" w14:textId="77777777" w:rsidR="00CB104E" w:rsidRPr="005149A6" w:rsidRDefault="00CB104E" w:rsidP="00CB104E">
      <w:pPr>
        <w:rPr>
          <w:b/>
          <w:bCs/>
        </w:rPr>
      </w:pPr>
      <w:r w:rsidRPr="0068154A">
        <w:rPr>
          <w:rFonts w:ascii="Segoe UI" w:hAnsi="Segoe UI" w:cs="Segoe UI"/>
          <w:noProof/>
          <w:color w:val="000000" w:themeColor="text1"/>
        </w:rPr>
        <w:drawing>
          <wp:anchor distT="0" distB="0" distL="114300" distR="114300" simplePos="0" relativeHeight="251659264" behindDoc="0" locked="0" layoutInCell="1" allowOverlap="1" wp14:anchorId="6350846F" wp14:editId="22F58A8A">
            <wp:simplePos x="0" y="0"/>
            <wp:positionH relativeFrom="margin">
              <wp:posOffset>0</wp:posOffset>
            </wp:positionH>
            <wp:positionV relativeFrom="paragraph">
              <wp:posOffset>161290</wp:posOffset>
            </wp:positionV>
            <wp:extent cx="1371600" cy="2057400"/>
            <wp:effectExtent l="0" t="0" r="0" b="0"/>
            <wp:wrapSquare wrapText="bothSides"/>
            <wp:docPr id="1" name="Picture 1" descr="Photograph of Deputy Secretary of the department of Health, John Skerrit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hotograph of Deputy Secretary of the department of Health, John Skerritt. "/>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71600" cy="2057400"/>
                    </a:xfrm>
                    <a:prstGeom prst="rect">
                      <a:avLst/>
                    </a:prstGeom>
                  </pic:spPr>
                </pic:pic>
              </a:graphicData>
            </a:graphic>
            <wp14:sizeRelH relativeFrom="page">
              <wp14:pctWidth>0</wp14:pctWidth>
            </wp14:sizeRelH>
            <wp14:sizeRelV relativeFrom="page">
              <wp14:pctHeight>0</wp14:pctHeight>
            </wp14:sizeRelV>
          </wp:anchor>
        </w:drawing>
      </w:r>
    </w:p>
    <w:p w14:paraId="40F0DE63" w14:textId="1B1E1AAE" w:rsidR="00CB104E" w:rsidRPr="00AA73B7" w:rsidRDefault="00C8258F" w:rsidP="00CB104E">
      <w:pPr>
        <w:spacing w:before="120" w:after="180" w:line="240" w:lineRule="atLeast"/>
        <w:rPr>
          <w:rFonts w:ascii="Segoe UI" w:eastAsia="Cambria" w:hAnsi="Segoe UI" w:cs="Segoe UI"/>
          <w:color w:val="000000" w:themeColor="text1"/>
          <w:sz w:val="21"/>
          <w:szCs w:val="20"/>
        </w:rPr>
      </w:pPr>
      <w:r w:rsidRPr="00AA73B7">
        <w:rPr>
          <w:rFonts w:ascii="Segoe UI" w:eastAsia="Cambria" w:hAnsi="Segoe UI" w:cs="Segoe UI"/>
          <w:color w:val="000000" w:themeColor="text1"/>
          <w:sz w:val="21"/>
          <w:szCs w:val="20"/>
        </w:rPr>
        <w:t>As an Australian Government regulator</w:t>
      </w:r>
      <w:r>
        <w:rPr>
          <w:rFonts w:ascii="Segoe UI" w:eastAsia="Cambria" w:hAnsi="Segoe UI" w:cs="Segoe UI"/>
          <w:color w:val="000000" w:themeColor="text1"/>
          <w:sz w:val="21"/>
          <w:szCs w:val="20"/>
        </w:rPr>
        <w:t>,</w:t>
      </w:r>
      <w:r w:rsidRPr="00AA73B7">
        <w:rPr>
          <w:rFonts w:ascii="Segoe UI" w:eastAsia="Cambria" w:hAnsi="Segoe UI" w:cs="Segoe UI"/>
          <w:color w:val="000000" w:themeColor="text1"/>
          <w:sz w:val="21"/>
          <w:szCs w:val="20"/>
        </w:rPr>
        <w:t xml:space="preserve"> the O</w:t>
      </w:r>
      <w:r>
        <w:rPr>
          <w:rFonts w:ascii="Segoe UI" w:eastAsia="Cambria" w:hAnsi="Segoe UI" w:cs="Segoe UI"/>
          <w:color w:val="000000" w:themeColor="text1"/>
          <w:sz w:val="21"/>
          <w:szCs w:val="20"/>
        </w:rPr>
        <w:t xml:space="preserve">ffice of </w:t>
      </w:r>
      <w:r w:rsidRPr="00AA73B7">
        <w:rPr>
          <w:rFonts w:ascii="Segoe UI" w:eastAsia="Cambria" w:hAnsi="Segoe UI" w:cs="Segoe UI"/>
          <w:color w:val="000000" w:themeColor="text1"/>
          <w:sz w:val="21"/>
          <w:szCs w:val="20"/>
        </w:rPr>
        <w:t>D</w:t>
      </w:r>
      <w:r>
        <w:rPr>
          <w:rFonts w:ascii="Segoe UI" w:eastAsia="Cambria" w:hAnsi="Segoe UI" w:cs="Segoe UI"/>
          <w:color w:val="000000" w:themeColor="text1"/>
          <w:sz w:val="21"/>
          <w:szCs w:val="20"/>
        </w:rPr>
        <w:t xml:space="preserve">rug </w:t>
      </w:r>
      <w:r w:rsidRPr="00AA73B7">
        <w:rPr>
          <w:rFonts w:ascii="Segoe UI" w:eastAsia="Cambria" w:hAnsi="Segoe UI" w:cs="Segoe UI"/>
          <w:color w:val="000000" w:themeColor="text1"/>
          <w:sz w:val="21"/>
          <w:szCs w:val="20"/>
        </w:rPr>
        <w:t>C</w:t>
      </w:r>
      <w:r>
        <w:rPr>
          <w:rFonts w:ascii="Segoe UI" w:eastAsia="Cambria" w:hAnsi="Segoe UI" w:cs="Segoe UI"/>
          <w:color w:val="000000" w:themeColor="text1"/>
          <w:sz w:val="21"/>
          <w:szCs w:val="20"/>
        </w:rPr>
        <w:t>ontrol (ODC)</w:t>
      </w:r>
      <w:r w:rsidRPr="00AA73B7">
        <w:rPr>
          <w:rFonts w:ascii="Segoe UI" w:eastAsia="Cambria" w:hAnsi="Segoe UI" w:cs="Segoe UI"/>
          <w:color w:val="000000" w:themeColor="text1"/>
          <w:sz w:val="21"/>
          <w:szCs w:val="20"/>
        </w:rPr>
        <w:t xml:space="preserve"> is committed to maintaining the confidence of the Australian public and the international community in relation to effective narcotic drugs control. </w:t>
      </w:r>
      <w:r w:rsidR="00CB104E">
        <w:rPr>
          <w:rFonts w:ascii="Segoe UI" w:eastAsia="Cambria" w:hAnsi="Segoe UI" w:cs="Segoe UI"/>
          <w:color w:val="000000" w:themeColor="text1"/>
          <w:sz w:val="21"/>
          <w:szCs w:val="20"/>
        </w:rPr>
        <w:t xml:space="preserve">The landscape of narcotic drugs </w:t>
      </w:r>
      <w:r w:rsidR="00CB104E" w:rsidRPr="00AA73B7">
        <w:rPr>
          <w:rFonts w:ascii="Segoe UI" w:eastAsia="Cambria" w:hAnsi="Segoe UI" w:cs="Segoe UI"/>
          <w:color w:val="000000" w:themeColor="text1"/>
          <w:sz w:val="21"/>
          <w:szCs w:val="20"/>
        </w:rPr>
        <w:t xml:space="preserve">regulation </w:t>
      </w:r>
      <w:r w:rsidR="00CB104E">
        <w:rPr>
          <w:rFonts w:ascii="Segoe UI" w:eastAsia="Cambria" w:hAnsi="Segoe UI" w:cs="Segoe UI"/>
          <w:color w:val="000000" w:themeColor="text1"/>
          <w:sz w:val="21"/>
          <w:szCs w:val="20"/>
        </w:rPr>
        <w:t xml:space="preserve">in </w:t>
      </w:r>
      <w:r w:rsidR="00CB104E" w:rsidRPr="00AA73B7">
        <w:rPr>
          <w:rFonts w:ascii="Segoe UI" w:eastAsia="Cambria" w:hAnsi="Segoe UI" w:cs="Segoe UI"/>
          <w:color w:val="000000" w:themeColor="text1"/>
          <w:sz w:val="21"/>
          <w:szCs w:val="20"/>
        </w:rPr>
        <w:t>Australia</w:t>
      </w:r>
      <w:r w:rsidR="00CB104E">
        <w:rPr>
          <w:rFonts w:ascii="Segoe UI" w:eastAsia="Cambria" w:hAnsi="Segoe UI" w:cs="Segoe UI"/>
          <w:color w:val="000000" w:themeColor="text1"/>
          <w:sz w:val="21"/>
          <w:szCs w:val="20"/>
        </w:rPr>
        <w:t xml:space="preserve"> continues to change, largely</w:t>
      </w:r>
      <w:r w:rsidR="00CB104E" w:rsidRPr="00AA73B7">
        <w:rPr>
          <w:rFonts w:ascii="Segoe UI" w:eastAsia="Cambria" w:hAnsi="Segoe UI" w:cs="Segoe UI"/>
          <w:color w:val="000000" w:themeColor="text1"/>
          <w:sz w:val="21"/>
          <w:szCs w:val="20"/>
        </w:rPr>
        <w:t xml:space="preserve"> due to the growth of medicinal cannabis industry. </w:t>
      </w:r>
    </w:p>
    <w:p w14:paraId="73905760" w14:textId="3126B3D2" w:rsidR="00CB104E" w:rsidRPr="00AA73B7" w:rsidRDefault="00CB104E" w:rsidP="00CB104E">
      <w:pPr>
        <w:spacing w:before="120" w:after="180" w:line="240" w:lineRule="atLeast"/>
        <w:rPr>
          <w:rFonts w:ascii="Segoe UI" w:eastAsia="Cambria" w:hAnsi="Segoe UI" w:cs="Segoe UI"/>
          <w:color w:val="000000" w:themeColor="text1"/>
          <w:sz w:val="21"/>
          <w:szCs w:val="20"/>
        </w:rPr>
      </w:pPr>
      <w:r w:rsidRPr="00AA73B7">
        <w:rPr>
          <w:rFonts w:ascii="Segoe UI" w:eastAsia="Cambria" w:hAnsi="Segoe UI" w:cs="Segoe UI"/>
          <w:color w:val="000000" w:themeColor="text1"/>
          <w:sz w:val="21"/>
          <w:szCs w:val="20"/>
        </w:rPr>
        <w:t xml:space="preserve">The </w:t>
      </w:r>
      <w:r w:rsidR="00A83DD5">
        <w:rPr>
          <w:rFonts w:ascii="Segoe UI" w:eastAsia="Cambria" w:hAnsi="Segoe UI" w:cs="Segoe UI"/>
          <w:color w:val="000000" w:themeColor="text1"/>
          <w:sz w:val="21"/>
          <w:szCs w:val="20"/>
        </w:rPr>
        <w:t xml:space="preserve">ODC </w:t>
      </w:r>
      <w:r w:rsidRPr="00AA73B7">
        <w:rPr>
          <w:rFonts w:ascii="Segoe UI" w:eastAsia="Cambria" w:hAnsi="Segoe UI" w:cs="Segoe UI"/>
          <w:color w:val="000000" w:themeColor="text1"/>
          <w:sz w:val="21"/>
          <w:szCs w:val="20"/>
        </w:rPr>
        <w:t xml:space="preserve">is committed to continuously improving its performance and engaging with </w:t>
      </w:r>
      <w:r w:rsidR="00E05F03">
        <w:rPr>
          <w:rFonts w:ascii="Segoe UI" w:eastAsia="Cambria" w:hAnsi="Segoe UI" w:cs="Segoe UI"/>
          <w:color w:val="000000" w:themeColor="text1"/>
          <w:sz w:val="21"/>
          <w:szCs w:val="20"/>
        </w:rPr>
        <w:t xml:space="preserve">stakeholders on </w:t>
      </w:r>
      <w:r w:rsidRPr="00AA73B7">
        <w:rPr>
          <w:rFonts w:ascii="Segoe UI" w:eastAsia="Cambria" w:hAnsi="Segoe UI" w:cs="Segoe UI"/>
          <w:color w:val="000000" w:themeColor="text1"/>
          <w:sz w:val="21"/>
          <w:szCs w:val="20"/>
        </w:rPr>
        <w:t xml:space="preserve">Australia’s regulatory framework for medicinal cannabis. </w:t>
      </w:r>
      <w:r w:rsidR="00C8258F">
        <w:rPr>
          <w:rFonts w:ascii="Segoe UI" w:eastAsia="Cambria" w:hAnsi="Segoe UI" w:cs="Segoe UI"/>
          <w:color w:val="000000" w:themeColor="text1"/>
          <w:sz w:val="21"/>
          <w:szCs w:val="20"/>
        </w:rPr>
        <w:t>Since the 2019 review of the medicinal cannabis scheme, t</w:t>
      </w:r>
      <w:r w:rsidRPr="00AA73B7">
        <w:rPr>
          <w:rFonts w:ascii="Segoe UI" w:eastAsia="Cambria" w:hAnsi="Segoe UI" w:cs="Segoe UI"/>
          <w:color w:val="000000" w:themeColor="text1"/>
          <w:sz w:val="21"/>
          <w:szCs w:val="20"/>
        </w:rPr>
        <w:t xml:space="preserve">he ODC has progressively implemented the Review recommendations, culminating in the introduction </w:t>
      </w:r>
      <w:r w:rsidR="00E05F03">
        <w:rPr>
          <w:rFonts w:ascii="Segoe UI" w:eastAsia="Cambria" w:hAnsi="Segoe UI" w:cs="Segoe UI"/>
          <w:color w:val="000000" w:themeColor="text1"/>
          <w:sz w:val="21"/>
          <w:szCs w:val="20"/>
        </w:rPr>
        <w:t xml:space="preserve">in </w:t>
      </w:r>
      <w:r w:rsidRPr="00AA73B7">
        <w:rPr>
          <w:rFonts w:ascii="Segoe UI" w:eastAsia="Cambria" w:hAnsi="Segoe UI" w:cs="Segoe UI"/>
          <w:color w:val="000000" w:themeColor="text1"/>
          <w:sz w:val="21"/>
          <w:szCs w:val="20"/>
        </w:rPr>
        <w:t xml:space="preserve">December 2021 of a single licence framework with simplified permit arrangements for medicinal cannabis regulation. These reforms are aimed at reducing the regulatory burden and increasing operational flexibility for industry. </w:t>
      </w:r>
    </w:p>
    <w:p w14:paraId="0374EECC" w14:textId="15F9DEA7" w:rsidR="00CB104E" w:rsidRPr="00AA73B7" w:rsidRDefault="00CB104E" w:rsidP="00CB104E">
      <w:pPr>
        <w:spacing w:before="120" w:after="180" w:line="240" w:lineRule="atLeast"/>
        <w:rPr>
          <w:rFonts w:ascii="Segoe UI" w:eastAsia="Cambria" w:hAnsi="Segoe UI" w:cs="Segoe UI"/>
          <w:color w:val="000000" w:themeColor="text1"/>
          <w:sz w:val="21"/>
          <w:szCs w:val="20"/>
        </w:rPr>
      </w:pPr>
      <w:r w:rsidRPr="00AA73B7">
        <w:rPr>
          <w:rFonts w:ascii="Segoe UI" w:eastAsia="Cambria" w:hAnsi="Segoe UI" w:cs="Segoe UI"/>
          <w:color w:val="000000" w:themeColor="text1"/>
          <w:sz w:val="21"/>
          <w:szCs w:val="20"/>
        </w:rPr>
        <w:t xml:space="preserve">The ODC’s medicinal cannabis regulatory functions are supported through industry cost recovery, with </w:t>
      </w:r>
      <w:r w:rsidR="00E05F03">
        <w:rPr>
          <w:rFonts w:ascii="Segoe UI" w:eastAsia="Cambria" w:hAnsi="Segoe UI" w:cs="Segoe UI"/>
          <w:color w:val="000000" w:themeColor="text1"/>
          <w:sz w:val="21"/>
          <w:szCs w:val="20"/>
        </w:rPr>
        <w:t>some</w:t>
      </w:r>
      <w:r w:rsidRPr="00AA73B7">
        <w:rPr>
          <w:rFonts w:ascii="Segoe UI" w:eastAsia="Cambria" w:hAnsi="Segoe UI" w:cs="Segoe UI"/>
          <w:color w:val="000000" w:themeColor="text1"/>
          <w:sz w:val="21"/>
          <w:szCs w:val="20"/>
        </w:rPr>
        <w:t xml:space="preserve"> other activities being directly funded by Government</w:t>
      </w:r>
      <w:r w:rsidR="00E05F03">
        <w:rPr>
          <w:rFonts w:ascii="Segoe UI" w:eastAsia="Cambria" w:hAnsi="Segoe UI" w:cs="Segoe UI"/>
          <w:color w:val="000000" w:themeColor="text1"/>
          <w:sz w:val="21"/>
          <w:szCs w:val="20"/>
        </w:rPr>
        <w:t>. M</w:t>
      </w:r>
      <w:r w:rsidR="00C8258F">
        <w:rPr>
          <w:rFonts w:ascii="Segoe UI" w:eastAsia="Cambria" w:hAnsi="Segoe UI" w:cs="Segoe UI"/>
          <w:color w:val="000000" w:themeColor="text1"/>
          <w:sz w:val="21"/>
          <w:szCs w:val="20"/>
        </w:rPr>
        <w:t xml:space="preserve">edicinal cannabis </w:t>
      </w:r>
      <w:r w:rsidRPr="00AA73B7">
        <w:rPr>
          <w:rFonts w:ascii="Segoe UI" w:eastAsia="Cambria" w:hAnsi="Segoe UI" w:cs="Segoe UI"/>
          <w:color w:val="000000" w:themeColor="text1"/>
          <w:sz w:val="21"/>
          <w:szCs w:val="20"/>
        </w:rPr>
        <w:t>fees and charges</w:t>
      </w:r>
      <w:r w:rsidR="00E05F03">
        <w:rPr>
          <w:rFonts w:ascii="Segoe UI" w:eastAsia="Cambria" w:hAnsi="Segoe UI" w:cs="Segoe UI"/>
          <w:color w:val="000000" w:themeColor="text1"/>
          <w:sz w:val="21"/>
          <w:szCs w:val="20"/>
        </w:rPr>
        <w:t xml:space="preserve"> are regularly reviewed</w:t>
      </w:r>
      <w:r w:rsidRPr="00AA73B7">
        <w:rPr>
          <w:rFonts w:ascii="Segoe UI" w:eastAsia="Cambria" w:hAnsi="Segoe UI" w:cs="Segoe UI"/>
          <w:color w:val="000000" w:themeColor="text1"/>
          <w:sz w:val="21"/>
          <w:szCs w:val="20"/>
        </w:rPr>
        <w:t xml:space="preserve"> to ensure consistency with the Australian Government Charging Framework</w:t>
      </w:r>
      <w:r w:rsidR="00C8258F">
        <w:rPr>
          <w:rFonts w:ascii="Segoe UI" w:eastAsia="Cambria" w:hAnsi="Segoe UI" w:cs="Segoe UI"/>
          <w:color w:val="000000" w:themeColor="text1"/>
          <w:sz w:val="21"/>
          <w:szCs w:val="20"/>
        </w:rPr>
        <w:t xml:space="preserve">. </w:t>
      </w:r>
      <w:r w:rsidRPr="00AA73B7">
        <w:rPr>
          <w:rFonts w:ascii="Segoe UI" w:eastAsia="Cambria" w:hAnsi="Segoe UI" w:cs="Segoe UI"/>
          <w:color w:val="000000" w:themeColor="text1"/>
          <w:sz w:val="21"/>
          <w:szCs w:val="20"/>
        </w:rPr>
        <w:t>A</w:t>
      </w:r>
      <w:r w:rsidR="00E05F03">
        <w:rPr>
          <w:rFonts w:ascii="Segoe UI" w:eastAsia="Cambria" w:hAnsi="Segoe UI" w:cs="Segoe UI"/>
          <w:color w:val="000000" w:themeColor="text1"/>
          <w:sz w:val="21"/>
          <w:szCs w:val="20"/>
        </w:rPr>
        <w:t>n</w:t>
      </w:r>
      <w:r w:rsidRPr="00AA73B7">
        <w:rPr>
          <w:rFonts w:ascii="Segoe UI" w:eastAsia="Cambria" w:hAnsi="Segoe UI" w:cs="Segoe UI"/>
          <w:color w:val="000000" w:themeColor="text1"/>
          <w:sz w:val="21"/>
          <w:szCs w:val="20"/>
        </w:rPr>
        <w:t xml:space="preserve"> objective for </w:t>
      </w:r>
      <w:r w:rsidR="00C8258F">
        <w:rPr>
          <w:rFonts w:ascii="Segoe UI" w:eastAsia="Cambria" w:hAnsi="Segoe UI" w:cs="Segoe UI"/>
          <w:color w:val="000000" w:themeColor="text1"/>
          <w:sz w:val="21"/>
          <w:szCs w:val="20"/>
        </w:rPr>
        <w:t xml:space="preserve">2022-23 </w:t>
      </w:r>
      <w:r w:rsidRPr="00AA73B7">
        <w:rPr>
          <w:rFonts w:ascii="Segoe UI" w:eastAsia="Cambria" w:hAnsi="Segoe UI" w:cs="Segoe UI"/>
          <w:color w:val="000000" w:themeColor="text1"/>
          <w:sz w:val="21"/>
          <w:szCs w:val="20"/>
        </w:rPr>
        <w:t xml:space="preserve">will be </w:t>
      </w:r>
      <w:r w:rsidR="00C8258F">
        <w:rPr>
          <w:rFonts w:ascii="Segoe UI" w:eastAsia="Cambria" w:hAnsi="Segoe UI" w:cs="Segoe UI"/>
          <w:color w:val="000000" w:themeColor="text1"/>
          <w:sz w:val="21"/>
          <w:szCs w:val="20"/>
        </w:rPr>
        <w:t xml:space="preserve">ensuring </w:t>
      </w:r>
      <w:r w:rsidRPr="00AA73B7">
        <w:rPr>
          <w:rFonts w:ascii="Segoe UI" w:eastAsia="Cambria" w:hAnsi="Segoe UI" w:cs="Segoe UI"/>
          <w:color w:val="000000" w:themeColor="text1"/>
          <w:sz w:val="21"/>
          <w:szCs w:val="20"/>
        </w:rPr>
        <w:t xml:space="preserve">the cost recovery model </w:t>
      </w:r>
      <w:r w:rsidR="00C8258F">
        <w:rPr>
          <w:rFonts w:ascii="Segoe UI" w:eastAsia="Cambria" w:hAnsi="Segoe UI" w:cs="Segoe UI"/>
          <w:color w:val="000000" w:themeColor="text1"/>
          <w:sz w:val="21"/>
          <w:szCs w:val="20"/>
        </w:rPr>
        <w:t xml:space="preserve">remains appropriate </w:t>
      </w:r>
      <w:r w:rsidRPr="00AA73B7">
        <w:rPr>
          <w:rFonts w:ascii="Segoe UI" w:eastAsia="Cambria" w:hAnsi="Segoe UI" w:cs="Segoe UI"/>
          <w:color w:val="000000" w:themeColor="text1"/>
          <w:sz w:val="21"/>
          <w:szCs w:val="20"/>
        </w:rPr>
        <w:t>following the recent medicinal cannabis reforms.</w:t>
      </w:r>
    </w:p>
    <w:p w14:paraId="01174CC2" w14:textId="64337E7A" w:rsidR="00CB104E" w:rsidRPr="00AA73B7" w:rsidRDefault="00CB104E" w:rsidP="00CB104E">
      <w:pPr>
        <w:spacing w:before="120" w:after="180" w:line="240" w:lineRule="atLeast"/>
        <w:rPr>
          <w:rFonts w:ascii="Segoe UI" w:eastAsia="Cambria" w:hAnsi="Segoe UI" w:cs="Segoe UI"/>
          <w:color w:val="000000" w:themeColor="text1"/>
          <w:sz w:val="21"/>
          <w:szCs w:val="20"/>
        </w:rPr>
      </w:pPr>
      <w:r>
        <w:rPr>
          <w:rFonts w:ascii="Segoe UI" w:eastAsia="Cambria" w:hAnsi="Segoe UI" w:cs="Segoe UI"/>
          <w:color w:val="000000" w:themeColor="text1"/>
          <w:sz w:val="21"/>
          <w:szCs w:val="20"/>
        </w:rPr>
        <w:t>Our focus on c</w:t>
      </w:r>
      <w:r w:rsidRPr="00AA73B7">
        <w:rPr>
          <w:rFonts w:ascii="Segoe UI" w:eastAsia="Cambria" w:hAnsi="Segoe UI" w:cs="Segoe UI"/>
          <w:color w:val="000000" w:themeColor="text1"/>
          <w:sz w:val="21"/>
          <w:szCs w:val="20"/>
        </w:rPr>
        <w:t>ompliance with</w:t>
      </w:r>
      <w:r w:rsidR="00C8258F">
        <w:rPr>
          <w:rFonts w:ascii="Segoe UI" w:eastAsia="Cambria" w:hAnsi="Segoe UI" w:cs="Segoe UI"/>
          <w:color w:val="000000" w:themeColor="text1"/>
          <w:sz w:val="21"/>
          <w:szCs w:val="20"/>
        </w:rPr>
        <w:t xml:space="preserve"> the</w:t>
      </w:r>
      <w:r w:rsidRPr="00AA73B7">
        <w:rPr>
          <w:rFonts w:ascii="Segoe UI" w:eastAsia="Cambria" w:hAnsi="Segoe UI" w:cs="Segoe UI"/>
          <w:color w:val="000000" w:themeColor="text1"/>
          <w:sz w:val="21"/>
          <w:szCs w:val="20"/>
        </w:rPr>
        <w:t xml:space="preserve"> legislation and conditions of a narcotics licence and permit is essential to prevent the diversion of narcotics for illicit supply and </w:t>
      </w:r>
      <w:r w:rsidR="00070498" w:rsidRPr="00AA73B7">
        <w:rPr>
          <w:rFonts w:ascii="Segoe UI" w:eastAsia="Cambria" w:hAnsi="Segoe UI" w:cs="Segoe UI"/>
          <w:color w:val="000000" w:themeColor="text1"/>
          <w:sz w:val="21"/>
          <w:szCs w:val="20"/>
        </w:rPr>
        <w:t>use and</w:t>
      </w:r>
      <w:r w:rsidRPr="00AA73B7">
        <w:rPr>
          <w:rFonts w:ascii="Segoe UI" w:eastAsia="Cambria" w:hAnsi="Segoe UI" w:cs="Segoe UI"/>
          <w:color w:val="000000" w:themeColor="text1"/>
          <w:sz w:val="21"/>
          <w:szCs w:val="20"/>
        </w:rPr>
        <w:t xml:space="preserve"> </w:t>
      </w:r>
      <w:r>
        <w:rPr>
          <w:rFonts w:ascii="Segoe UI" w:eastAsia="Cambria" w:hAnsi="Segoe UI" w:cs="Segoe UI"/>
          <w:color w:val="000000" w:themeColor="text1"/>
          <w:sz w:val="21"/>
          <w:szCs w:val="20"/>
        </w:rPr>
        <w:t>will</w:t>
      </w:r>
      <w:r w:rsidRPr="00AA73B7">
        <w:rPr>
          <w:rFonts w:ascii="Segoe UI" w:eastAsia="Cambria" w:hAnsi="Segoe UI" w:cs="Segoe UI"/>
          <w:color w:val="000000" w:themeColor="text1"/>
          <w:sz w:val="21"/>
          <w:szCs w:val="20"/>
        </w:rPr>
        <w:t xml:space="preserve"> assist Australia </w:t>
      </w:r>
      <w:r>
        <w:rPr>
          <w:rFonts w:ascii="Segoe UI" w:eastAsia="Cambria" w:hAnsi="Segoe UI" w:cs="Segoe UI"/>
          <w:color w:val="000000" w:themeColor="text1"/>
          <w:sz w:val="21"/>
          <w:szCs w:val="20"/>
        </w:rPr>
        <w:t>to comply</w:t>
      </w:r>
      <w:r w:rsidRPr="00AA73B7">
        <w:rPr>
          <w:rFonts w:ascii="Segoe UI" w:eastAsia="Cambria" w:hAnsi="Segoe UI" w:cs="Segoe UI"/>
          <w:color w:val="000000" w:themeColor="text1"/>
          <w:sz w:val="21"/>
          <w:szCs w:val="20"/>
        </w:rPr>
        <w:t xml:space="preserve"> with its international obligations. The ODC </w:t>
      </w:r>
      <w:r w:rsidR="00E05F03">
        <w:rPr>
          <w:rFonts w:ascii="Segoe UI" w:eastAsia="Cambria" w:hAnsi="Segoe UI" w:cs="Segoe UI"/>
          <w:color w:val="000000" w:themeColor="text1"/>
          <w:sz w:val="21"/>
          <w:szCs w:val="20"/>
        </w:rPr>
        <w:t xml:space="preserve">will evolve its approach to </w:t>
      </w:r>
      <w:r w:rsidRPr="00AA73B7">
        <w:rPr>
          <w:rFonts w:ascii="Segoe UI" w:eastAsia="Cambria" w:hAnsi="Segoe UI" w:cs="Segoe UI"/>
          <w:color w:val="000000" w:themeColor="text1"/>
          <w:sz w:val="21"/>
          <w:szCs w:val="20"/>
        </w:rPr>
        <w:t>appropriate</w:t>
      </w:r>
      <w:r w:rsidR="00E05F03">
        <w:rPr>
          <w:rFonts w:ascii="Segoe UI" w:eastAsia="Cambria" w:hAnsi="Segoe UI" w:cs="Segoe UI"/>
          <w:color w:val="000000" w:themeColor="text1"/>
          <w:sz w:val="21"/>
          <w:szCs w:val="20"/>
        </w:rPr>
        <w:t xml:space="preserve">ly </w:t>
      </w:r>
      <w:r w:rsidRPr="00AA73B7">
        <w:rPr>
          <w:rFonts w:ascii="Segoe UI" w:eastAsia="Cambria" w:hAnsi="Segoe UI" w:cs="Segoe UI"/>
          <w:color w:val="000000" w:themeColor="text1"/>
          <w:sz w:val="21"/>
          <w:szCs w:val="20"/>
        </w:rPr>
        <w:t xml:space="preserve">manage risk while not unnecessarily impeding the operations of the entities that it regulates. </w:t>
      </w:r>
    </w:p>
    <w:p w14:paraId="75E85284" w14:textId="489FE24B" w:rsidR="00CB104E" w:rsidRPr="00AA73B7" w:rsidRDefault="00070498" w:rsidP="00CB104E">
      <w:pPr>
        <w:spacing w:before="120" w:after="180" w:line="240" w:lineRule="atLeast"/>
        <w:rPr>
          <w:rFonts w:ascii="Segoe UI" w:eastAsia="Cambria" w:hAnsi="Segoe UI" w:cs="Segoe UI"/>
          <w:color w:val="000000" w:themeColor="text1"/>
          <w:sz w:val="21"/>
          <w:szCs w:val="20"/>
        </w:rPr>
      </w:pPr>
      <w:r>
        <w:rPr>
          <w:rFonts w:ascii="Segoe UI" w:eastAsia="Cambria" w:hAnsi="Segoe UI" w:cs="Segoe UI"/>
          <w:color w:val="000000" w:themeColor="text1"/>
          <w:sz w:val="21"/>
          <w:szCs w:val="20"/>
        </w:rPr>
        <w:t xml:space="preserve">2022-23 sees the second year of the </w:t>
      </w:r>
      <w:r w:rsidR="00CB104E" w:rsidRPr="00AA73B7">
        <w:rPr>
          <w:rFonts w:ascii="Segoe UI" w:eastAsia="Cambria" w:hAnsi="Segoe UI" w:cs="Segoe UI"/>
          <w:color w:val="000000" w:themeColor="text1"/>
          <w:sz w:val="21"/>
          <w:szCs w:val="20"/>
        </w:rPr>
        <w:t>two-year pilot program for the commercial importation of kava. The Department of Health</w:t>
      </w:r>
      <w:r w:rsidR="00CB104E">
        <w:rPr>
          <w:rFonts w:ascii="Segoe UI" w:eastAsia="Cambria" w:hAnsi="Segoe UI" w:cs="Segoe UI"/>
          <w:color w:val="000000" w:themeColor="text1"/>
          <w:sz w:val="21"/>
          <w:szCs w:val="20"/>
        </w:rPr>
        <w:t xml:space="preserve"> and Aged Care</w:t>
      </w:r>
      <w:r w:rsidR="00CB104E" w:rsidRPr="00AA73B7">
        <w:rPr>
          <w:rFonts w:ascii="Segoe UI" w:eastAsia="Cambria" w:hAnsi="Segoe UI" w:cs="Segoe UI"/>
          <w:color w:val="000000" w:themeColor="text1"/>
          <w:sz w:val="21"/>
          <w:szCs w:val="20"/>
        </w:rPr>
        <w:t>, through the ODC, is the lead agency for the kava pilot, which includes a comprehensive evaluation to inform recommendations to Government at the conclusion of the pilot.</w:t>
      </w:r>
    </w:p>
    <w:p w14:paraId="67601C49" w14:textId="45E63A6A" w:rsidR="00C8258F" w:rsidRPr="00AA73B7" w:rsidRDefault="00C8258F" w:rsidP="00C8258F">
      <w:pPr>
        <w:spacing w:before="120" w:after="180" w:line="240" w:lineRule="atLeast"/>
        <w:rPr>
          <w:rFonts w:ascii="Segoe UI" w:eastAsia="Cambria" w:hAnsi="Segoe UI" w:cs="Segoe UI"/>
          <w:color w:val="000000" w:themeColor="text1"/>
          <w:sz w:val="21"/>
          <w:szCs w:val="20"/>
        </w:rPr>
      </w:pPr>
      <w:r>
        <w:rPr>
          <w:rFonts w:ascii="Segoe UI" w:eastAsia="Cambria" w:hAnsi="Segoe UI" w:cs="Segoe UI"/>
          <w:color w:val="000000" w:themeColor="text1"/>
          <w:sz w:val="21"/>
          <w:szCs w:val="20"/>
        </w:rPr>
        <w:t>In 2022-23 we will also focus on</w:t>
      </w:r>
      <w:r w:rsidRPr="00AA73B7">
        <w:rPr>
          <w:rFonts w:ascii="Segoe UI" w:eastAsia="Cambria" w:hAnsi="Segoe UI" w:cs="Segoe UI"/>
          <w:color w:val="000000" w:themeColor="text1"/>
          <w:sz w:val="21"/>
          <w:szCs w:val="20"/>
        </w:rPr>
        <w:t xml:space="preserve"> progressing the ODC’s </w:t>
      </w:r>
      <w:r w:rsidR="00E05F03">
        <w:rPr>
          <w:rFonts w:ascii="Segoe UI" w:eastAsia="Cambria" w:hAnsi="Segoe UI" w:cs="Segoe UI"/>
          <w:color w:val="000000" w:themeColor="text1"/>
          <w:sz w:val="21"/>
          <w:szCs w:val="20"/>
        </w:rPr>
        <w:t xml:space="preserve">business and </w:t>
      </w:r>
      <w:r w:rsidRPr="00AA73B7">
        <w:rPr>
          <w:rFonts w:ascii="Segoe UI" w:eastAsia="Cambria" w:hAnsi="Segoe UI" w:cs="Segoe UI"/>
          <w:color w:val="000000" w:themeColor="text1"/>
          <w:sz w:val="21"/>
          <w:szCs w:val="20"/>
        </w:rPr>
        <w:t xml:space="preserve">digital transformation, including redeveloping its website, </w:t>
      </w:r>
      <w:r>
        <w:rPr>
          <w:rFonts w:ascii="Segoe UI" w:eastAsia="Cambria" w:hAnsi="Segoe UI" w:cs="Segoe UI"/>
          <w:color w:val="000000" w:themeColor="text1"/>
          <w:sz w:val="21"/>
          <w:szCs w:val="20"/>
        </w:rPr>
        <w:t>to enhance stakeholder’s interactions with us. We will continue to nurture</w:t>
      </w:r>
      <w:r w:rsidRPr="00AA73B7">
        <w:rPr>
          <w:rFonts w:ascii="Segoe UI" w:eastAsia="Cambria" w:hAnsi="Segoe UI" w:cs="Segoe UI"/>
          <w:color w:val="000000" w:themeColor="text1"/>
          <w:sz w:val="21"/>
          <w:szCs w:val="20"/>
        </w:rPr>
        <w:t xml:space="preserve"> a culture that values innovation and supports business process improvements</w:t>
      </w:r>
      <w:r w:rsidR="009E2B9D">
        <w:rPr>
          <w:rFonts w:ascii="Segoe UI" w:eastAsia="Cambria" w:hAnsi="Segoe UI" w:cs="Segoe UI"/>
          <w:color w:val="000000" w:themeColor="text1"/>
          <w:sz w:val="21"/>
          <w:szCs w:val="20"/>
        </w:rPr>
        <w:t>.</w:t>
      </w:r>
    </w:p>
    <w:p w14:paraId="1B49197C" w14:textId="77777777" w:rsidR="009E2B9D" w:rsidRDefault="009E2B9D" w:rsidP="00CB104E">
      <w:pPr>
        <w:spacing w:before="120" w:after="180" w:line="240" w:lineRule="atLeast"/>
        <w:rPr>
          <w:rFonts w:ascii="Segoe UI" w:eastAsia="Cambria" w:hAnsi="Segoe UI" w:cs="Segoe UI"/>
          <w:b/>
          <w:bCs/>
          <w:color w:val="000000" w:themeColor="text1"/>
          <w:sz w:val="21"/>
          <w:szCs w:val="20"/>
        </w:rPr>
      </w:pPr>
    </w:p>
    <w:p w14:paraId="15FD6F84" w14:textId="6B4398C8" w:rsidR="00CB104E" w:rsidRPr="00AA73B7" w:rsidRDefault="00CB104E" w:rsidP="00CB104E">
      <w:pPr>
        <w:spacing w:before="120" w:after="180" w:line="240" w:lineRule="atLeast"/>
        <w:rPr>
          <w:rFonts w:ascii="Segoe UI" w:eastAsia="Cambria" w:hAnsi="Segoe UI" w:cs="Segoe UI"/>
          <w:color w:val="000000" w:themeColor="text1"/>
          <w:sz w:val="21"/>
          <w:szCs w:val="20"/>
        </w:rPr>
      </w:pPr>
      <w:r w:rsidRPr="00AA73B7">
        <w:rPr>
          <w:rFonts w:ascii="Segoe UI" w:eastAsia="Cambria" w:hAnsi="Segoe UI" w:cs="Segoe UI"/>
          <w:b/>
          <w:bCs/>
          <w:color w:val="000000" w:themeColor="text1"/>
          <w:sz w:val="21"/>
          <w:szCs w:val="20"/>
        </w:rPr>
        <w:t>Adjunct Prof John Skerritt</w:t>
      </w:r>
      <w:r w:rsidRPr="00AA73B7">
        <w:rPr>
          <w:rFonts w:ascii="Segoe UI" w:eastAsia="Cambria" w:hAnsi="Segoe UI" w:cs="Segoe UI"/>
          <w:color w:val="000000" w:themeColor="text1"/>
          <w:sz w:val="21"/>
          <w:szCs w:val="20"/>
        </w:rPr>
        <w:t xml:space="preserve"> FTSE FIPAA (Vic)</w:t>
      </w:r>
    </w:p>
    <w:p w14:paraId="36ABE7C1" w14:textId="77777777" w:rsidR="00CB104E" w:rsidRDefault="00CB104E" w:rsidP="00CB104E">
      <w:pPr>
        <w:rPr>
          <w:szCs w:val="22"/>
        </w:rPr>
      </w:pPr>
      <w:r>
        <w:rPr>
          <w:szCs w:val="22"/>
        </w:rPr>
        <w:br w:type="page"/>
      </w:r>
    </w:p>
    <w:p w14:paraId="7BE6B7EB" w14:textId="77777777" w:rsidR="00CB104E" w:rsidRPr="006868C8" w:rsidRDefault="00CB104E" w:rsidP="006868C8">
      <w:pPr>
        <w:pStyle w:val="Heading2"/>
        <w:keepLines/>
        <w:spacing w:before="480" w:after="120" w:line="240" w:lineRule="atLeast"/>
        <w:rPr>
          <w:rFonts w:ascii="Segoe UI" w:hAnsi="Segoe UI" w:cs="Segoe UI"/>
          <w:bCs w:val="0"/>
          <w:iCs w:val="0"/>
          <w:color w:val="333399"/>
          <w:sz w:val="38"/>
          <w:szCs w:val="38"/>
        </w:rPr>
      </w:pPr>
      <w:bookmarkStart w:id="5" w:name="_Toc112663420"/>
      <w:r w:rsidRPr="006868C8">
        <w:rPr>
          <w:rFonts w:ascii="Segoe UI" w:hAnsi="Segoe UI" w:cs="Segoe UI"/>
          <w:bCs w:val="0"/>
          <w:iCs w:val="0"/>
          <w:color w:val="333399"/>
          <w:sz w:val="38"/>
          <w:szCs w:val="38"/>
        </w:rPr>
        <w:lastRenderedPageBreak/>
        <w:t>Our purpose</w:t>
      </w:r>
      <w:bookmarkEnd w:id="5"/>
    </w:p>
    <w:p w14:paraId="5D2AA649" w14:textId="099217EF" w:rsidR="00CB104E" w:rsidRPr="00AA73B7" w:rsidRDefault="00CB104E" w:rsidP="00CB104E">
      <w:pPr>
        <w:pStyle w:val="ListBullet"/>
        <w:numPr>
          <w:ilvl w:val="0"/>
          <w:numId w:val="0"/>
        </w:numPr>
        <w:spacing w:before="120" w:after="180" w:line="240" w:lineRule="atLeast"/>
        <w:rPr>
          <w:rFonts w:ascii="Segoe UI" w:eastAsia="Cambria" w:hAnsi="Segoe UI" w:cs="Segoe UI"/>
          <w:szCs w:val="20"/>
        </w:rPr>
      </w:pPr>
      <w:r w:rsidRPr="00AA73B7">
        <w:rPr>
          <w:rFonts w:ascii="Segoe UI" w:eastAsia="Cambria" w:hAnsi="Segoe UI" w:cs="Segoe UI"/>
          <w:szCs w:val="20"/>
        </w:rPr>
        <w:t>The O</w:t>
      </w:r>
      <w:r w:rsidR="00070498">
        <w:rPr>
          <w:rFonts w:ascii="Segoe UI" w:eastAsia="Cambria" w:hAnsi="Segoe UI" w:cs="Segoe UI"/>
          <w:szCs w:val="20"/>
        </w:rPr>
        <w:t xml:space="preserve">ffice of </w:t>
      </w:r>
      <w:r w:rsidRPr="00AA73B7">
        <w:rPr>
          <w:rFonts w:ascii="Segoe UI" w:eastAsia="Cambria" w:hAnsi="Segoe UI" w:cs="Segoe UI"/>
          <w:szCs w:val="20"/>
        </w:rPr>
        <w:t>D</w:t>
      </w:r>
      <w:r w:rsidR="00070498">
        <w:rPr>
          <w:rFonts w:ascii="Segoe UI" w:eastAsia="Cambria" w:hAnsi="Segoe UI" w:cs="Segoe UI"/>
          <w:szCs w:val="20"/>
        </w:rPr>
        <w:t xml:space="preserve">rug </w:t>
      </w:r>
      <w:r w:rsidRPr="00AA73B7">
        <w:rPr>
          <w:rFonts w:ascii="Segoe UI" w:eastAsia="Cambria" w:hAnsi="Segoe UI" w:cs="Segoe UI"/>
          <w:szCs w:val="20"/>
        </w:rPr>
        <w:t>C</w:t>
      </w:r>
      <w:r w:rsidR="00070498">
        <w:rPr>
          <w:rFonts w:ascii="Segoe UI" w:eastAsia="Cambria" w:hAnsi="Segoe UI" w:cs="Segoe UI"/>
          <w:szCs w:val="20"/>
        </w:rPr>
        <w:t>ontrol (ODC)</w:t>
      </w:r>
      <w:r w:rsidRPr="00AA73B7">
        <w:rPr>
          <w:rFonts w:ascii="Segoe UI" w:eastAsia="Cambria" w:hAnsi="Segoe UI" w:cs="Segoe UI"/>
          <w:szCs w:val="20"/>
        </w:rPr>
        <w:t xml:space="preserve">, as part of the Department of Health and Aged Care, </w:t>
      </w:r>
      <w:r w:rsidR="00053338">
        <w:rPr>
          <w:rFonts w:ascii="Segoe UI" w:eastAsia="Cambria" w:hAnsi="Segoe UI" w:cs="Segoe UI"/>
          <w:szCs w:val="20"/>
        </w:rPr>
        <w:t xml:space="preserve">regulates and provides advice on the import, </w:t>
      </w:r>
      <w:proofErr w:type="gramStart"/>
      <w:r w:rsidR="00053338">
        <w:rPr>
          <w:rFonts w:ascii="Segoe UI" w:eastAsia="Cambria" w:hAnsi="Segoe UI" w:cs="Segoe UI"/>
          <w:szCs w:val="20"/>
        </w:rPr>
        <w:t>export</w:t>
      </w:r>
      <w:proofErr w:type="gramEnd"/>
      <w:r w:rsidR="00053338">
        <w:rPr>
          <w:rFonts w:ascii="Segoe UI" w:eastAsia="Cambria" w:hAnsi="Segoe UI" w:cs="Segoe UI"/>
          <w:szCs w:val="20"/>
        </w:rPr>
        <w:t xml:space="preserve"> and manufacture of </w:t>
      </w:r>
      <w:r w:rsidRPr="00AA73B7">
        <w:rPr>
          <w:rFonts w:ascii="Segoe UI" w:eastAsia="Cambria" w:hAnsi="Segoe UI" w:cs="Segoe UI"/>
          <w:szCs w:val="20"/>
        </w:rPr>
        <w:t>controlled drugs as part of Australia’s obligations under International Drug Conventions</w:t>
      </w:r>
      <w:r>
        <w:rPr>
          <w:rFonts w:ascii="Segoe UI" w:eastAsia="Cambria" w:hAnsi="Segoe UI" w:cs="Segoe UI"/>
          <w:szCs w:val="20"/>
        </w:rPr>
        <w:t>:</w:t>
      </w:r>
    </w:p>
    <w:p w14:paraId="483A185C" w14:textId="77777777" w:rsidR="00CB104E" w:rsidRPr="00417BF0" w:rsidRDefault="00CB104E" w:rsidP="00417BF0">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417BF0">
        <w:rPr>
          <w:rFonts w:ascii="Segoe UI" w:hAnsi="Segoe UI" w:cs="Segoe UI"/>
          <w:color w:val="000000" w:themeColor="text1"/>
          <w:sz w:val="21"/>
        </w:rPr>
        <w:t>Single Convention of Narcotic Drugs 1961, as amended by the 1972 protocol (the Single Convention</w:t>
      </w:r>
      <w:proofErr w:type="gramStart"/>
      <w:r w:rsidRPr="00417BF0">
        <w:rPr>
          <w:rFonts w:ascii="Segoe UI" w:hAnsi="Segoe UI" w:cs="Segoe UI"/>
          <w:color w:val="000000" w:themeColor="text1"/>
          <w:sz w:val="21"/>
        </w:rPr>
        <w:t>);</w:t>
      </w:r>
      <w:proofErr w:type="gramEnd"/>
    </w:p>
    <w:p w14:paraId="77C55317" w14:textId="77777777" w:rsidR="00CB104E" w:rsidRPr="00417BF0" w:rsidRDefault="00CB104E" w:rsidP="00417BF0">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417BF0">
        <w:rPr>
          <w:rFonts w:ascii="Segoe UI" w:hAnsi="Segoe UI" w:cs="Segoe UI"/>
          <w:color w:val="000000" w:themeColor="text1"/>
          <w:sz w:val="21"/>
        </w:rPr>
        <w:t>Convention on Psychotropic Substances 1971; and</w:t>
      </w:r>
    </w:p>
    <w:p w14:paraId="6811991B" w14:textId="77777777" w:rsidR="00CB104E" w:rsidRPr="00417BF0" w:rsidRDefault="00CB104E" w:rsidP="00417BF0">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417BF0">
        <w:rPr>
          <w:rFonts w:ascii="Segoe UI" w:hAnsi="Segoe UI" w:cs="Segoe UI"/>
          <w:color w:val="000000" w:themeColor="text1"/>
          <w:sz w:val="21"/>
        </w:rPr>
        <w:t>United Nations Convention against illicit traffic in Narcotic Drugs and Psychotropic Substances of 1988.</w:t>
      </w:r>
    </w:p>
    <w:p w14:paraId="062B957A" w14:textId="77777777" w:rsidR="00CB104E" w:rsidRPr="00506128" w:rsidRDefault="00CB104E" w:rsidP="00CB104E">
      <w:pPr>
        <w:rPr>
          <w:rFonts w:ascii="Segoe UI" w:eastAsia="Cambria" w:hAnsi="Segoe UI" w:cs="Segoe UI"/>
          <w:color w:val="000000" w:themeColor="text1"/>
          <w:sz w:val="21"/>
          <w:szCs w:val="20"/>
        </w:rPr>
      </w:pPr>
      <w:r w:rsidRPr="00506128">
        <w:rPr>
          <w:rFonts w:ascii="Segoe UI" w:eastAsia="Cambria" w:hAnsi="Segoe UI" w:cs="Segoe UI"/>
          <w:color w:val="000000" w:themeColor="text1"/>
          <w:sz w:val="21"/>
          <w:szCs w:val="20"/>
        </w:rPr>
        <w:t>The purpose of the drug conventions is to provide an international framework that recognises the medicinal value of narcotic and psychotropic drugs and ensures that these drugs are available for legitimate purposes.</w:t>
      </w:r>
    </w:p>
    <w:p w14:paraId="511215AD" w14:textId="77777777" w:rsidR="00CB104E" w:rsidRDefault="00CB104E" w:rsidP="00CB104E">
      <w:pPr>
        <w:spacing w:before="120"/>
        <w:rPr>
          <w:rFonts w:ascii="Segoe UI" w:eastAsia="Cambria" w:hAnsi="Segoe UI" w:cs="Segoe UI"/>
          <w:color w:val="000000" w:themeColor="text1"/>
          <w:sz w:val="21"/>
          <w:szCs w:val="20"/>
        </w:rPr>
      </w:pPr>
      <w:r w:rsidRPr="00506128">
        <w:rPr>
          <w:rFonts w:ascii="Segoe UI" w:eastAsia="Cambria" w:hAnsi="Segoe UI" w:cs="Segoe UI"/>
          <w:color w:val="000000" w:themeColor="text1"/>
          <w:sz w:val="21"/>
          <w:szCs w:val="20"/>
        </w:rPr>
        <w:t>Our responsibilities include</w:t>
      </w:r>
      <w:r>
        <w:rPr>
          <w:rFonts w:ascii="Segoe UI" w:eastAsia="Cambria" w:hAnsi="Segoe UI" w:cs="Segoe UI"/>
          <w:color w:val="000000" w:themeColor="text1"/>
          <w:sz w:val="21"/>
          <w:szCs w:val="20"/>
        </w:rPr>
        <w:t>:</w:t>
      </w:r>
      <w:r w:rsidRPr="00506128">
        <w:rPr>
          <w:rFonts w:ascii="Segoe UI" w:eastAsia="Cambria" w:hAnsi="Segoe UI" w:cs="Segoe UI"/>
          <w:color w:val="000000" w:themeColor="text1"/>
          <w:sz w:val="21"/>
          <w:szCs w:val="20"/>
        </w:rPr>
        <w:t xml:space="preserve"> </w:t>
      </w:r>
    </w:p>
    <w:p w14:paraId="3DD67C11" w14:textId="4CE5966A" w:rsidR="00CB104E" w:rsidRPr="006868C8" w:rsidRDefault="00CB104E" w:rsidP="006868C8">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6868C8">
        <w:rPr>
          <w:rFonts w:ascii="Segoe UI" w:hAnsi="Segoe UI" w:cs="Segoe UI"/>
          <w:color w:val="000000" w:themeColor="text1"/>
          <w:sz w:val="21"/>
        </w:rPr>
        <w:t xml:space="preserve">the regulation of the import, </w:t>
      </w:r>
      <w:proofErr w:type="gramStart"/>
      <w:r w:rsidRPr="006868C8">
        <w:rPr>
          <w:rFonts w:ascii="Segoe UI" w:hAnsi="Segoe UI" w:cs="Segoe UI"/>
          <w:color w:val="000000" w:themeColor="text1"/>
          <w:sz w:val="21"/>
        </w:rPr>
        <w:t>export</w:t>
      </w:r>
      <w:proofErr w:type="gramEnd"/>
      <w:r w:rsidRPr="006868C8">
        <w:rPr>
          <w:rFonts w:ascii="Segoe UI" w:hAnsi="Segoe UI" w:cs="Segoe UI"/>
          <w:color w:val="000000" w:themeColor="text1"/>
          <w:sz w:val="21"/>
        </w:rPr>
        <w:t xml:space="preserve"> and manufacture of controlled drugs to ensure access to essential medications </w:t>
      </w:r>
    </w:p>
    <w:p w14:paraId="6862796E" w14:textId="77777777" w:rsidR="00CB104E" w:rsidRPr="006868C8" w:rsidRDefault="00CB104E" w:rsidP="006868C8">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6868C8">
        <w:rPr>
          <w:rFonts w:ascii="Segoe UI" w:hAnsi="Segoe UI" w:cs="Segoe UI"/>
          <w:color w:val="000000" w:themeColor="text1"/>
          <w:sz w:val="21"/>
        </w:rPr>
        <w:t xml:space="preserve">the regulation of medicinal cannabis cultivation and production </w:t>
      </w:r>
    </w:p>
    <w:p w14:paraId="24D96853" w14:textId="77777777" w:rsidR="00CB104E" w:rsidRPr="006868C8" w:rsidRDefault="00CB104E" w:rsidP="006868C8">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6868C8">
        <w:rPr>
          <w:rFonts w:ascii="Segoe UI" w:hAnsi="Segoe UI" w:cs="Segoe UI"/>
          <w:color w:val="000000" w:themeColor="text1"/>
          <w:sz w:val="21"/>
        </w:rPr>
        <w:t>reporting on activities to the International Narcotic Control Board</w:t>
      </w:r>
    </w:p>
    <w:p w14:paraId="4383F931" w14:textId="77777777" w:rsidR="00CB104E" w:rsidRPr="006868C8" w:rsidRDefault="00CB104E" w:rsidP="006868C8">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6868C8">
        <w:rPr>
          <w:rFonts w:ascii="Segoe UI" w:hAnsi="Segoe UI" w:cs="Segoe UI"/>
          <w:color w:val="000000" w:themeColor="text1"/>
          <w:sz w:val="21"/>
        </w:rPr>
        <w:t xml:space="preserve">applying amendments to international drug controls in Australia, and </w:t>
      </w:r>
    </w:p>
    <w:p w14:paraId="38FB99C1" w14:textId="77777777" w:rsidR="00CB104E" w:rsidRPr="006868C8" w:rsidRDefault="00CB104E" w:rsidP="006868C8">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6868C8">
        <w:rPr>
          <w:rFonts w:ascii="Segoe UI" w:hAnsi="Segoe UI" w:cs="Segoe UI"/>
          <w:color w:val="000000" w:themeColor="text1"/>
          <w:sz w:val="21"/>
        </w:rPr>
        <w:t xml:space="preserve">ensuring Australians have access to essential medications. </w:t>
      </w:r>
    </w:p>
    <w:p w14:paraId="2746497F" w14:textId="190622E7" w:rsidR="00CB104E" w:rsidRPr="00506128" w:rsidRDefault="00CB104E" w:rsidP="00CB104E">
      <w:pPr>
        <w:pStyle w:val="Paragraphtext"/>
        <w:spacing w:beforeLines="60" w:before="144" w:afterLines="60" w:after="144"/>
        <w:rPr>
          <w:rFonts w:ascii="Segoe UI" w:eastAsia="Cambria" w:hAnsi="Segoe UI" w:cs="Segoe UI"/>
          <w:szCs w:val="20"/>
        </w:rPr>
      </w:pPr>
      <w:r w:rsidRPr="00506128">
        <w:rPr>
          <w:rFonts w:ascii="Segoe UI" w:eastAsia="Cambria" w:hAnsi="Segoe UI" w:cs="Segoe UI"/>
          <w:szCs w:val="20"/>
        </w:rPr>
        <w:t>We work in partnership with other Commonwealth</w:t>
      </w:r>
      <w:r w:rsidR="00070498">
        <w:rPr>
          <w:rFonts w:ascii="Segoe UI" w:eastAsia="Cambria" w:hAnsi="Segoe UI" w:cs="Segoe UI"/>
          <w:szCs w:val="20"/>
        </w:rPr>
        <w:t>,</w:t>
      </w:r>
      <w:r w:rsidRPr="00506128">
        <w:rPr>
          <w:rFonts w:ascii="Segoe UI" w:eastAsia="Cambria" w:hAnsi="Segoe UI" w:cs="Segoe UI"/>
          <w:szCs w:val="20"/>
        </w:rPr>
        <w:t xml:space="preserve"> </w:t>
      </w:r>
      <w:proofErr w:type="gramStart"/>
      <w:r w:rsidRPr="00506128">
        <w:rPr>
          <w:rFonts w:ascii="Segoe UI" w:eastAsia="Cambria" w:hAnsi="Segoe UI" w:cs="Segoe UI"/>
          <w:szCs w:val="20"/>
        </w:rPr>
        <w:t>state</w:t>
      </w:r>
      <w:proofErr w:type="gramEnd"/>
      <w:r w:rsidRPr="00506128">
        <w:rPr>
          <w:rFonts w:ascii="Segoe UI" w:eastAsia="Cambria" w:hAnsi="Segoe UI" w:cs="Segoe UI"/>
          <w:szCs w:val="20"/>
        </w:rPr>
        <w:t xml:space="preserve"> and territory government agencies, including law enforcement agencies at all levels. These relationships aim to maintain the integrity of the regulation of controlled drugs nationally, while increasing consistency, minimising complexity, and resolving cross-jurisdictional issues to the extent possible.</w:t>
      </w:r>
    </w:p>
    <w:p w14:paraId="4E7E5272" w14:textId="2A1C58C6" w:rsidR="00CB104E" w:rsidRPr="00506128" w:rsidRDefault="00CB104E" w:rsidP="00CB104E">
      <w:pPr>
        <w:shd w:val="clear" w:color="auto" w:fill="FFFFFF"/>
        <w:spacing w:beforeLines="60" w:before="144" w:afterLines="60" w:after="144"/>
        <w:rPr>
          <w:rFonts w:ascii="Segoe UI" w:eastAsia="Cambria" w:hAnsi="Segoe UI" w:cs="Segoe UI"/>
          <w:color w:val="000000" w:themeColor="text1"/>
          <w:sz w:val="21"/>
          <w:szCs w:val="20"/>
        </w:rPr>
      </w:pPr>
      <w:r w:rsidRPr="00506128">
        <w:rPr>
          <w:rFonts w:ascii="Segoe UI" w:eastAsia="Cambria" w:hAnsi="Segoe UI" w:cs="Segoe UI"/>
          <w:color w:val="000000" w:themeColor="text1"/>
          <w:sz w:val="21"/>
          <w:szCs w:val="20"/>
        </w:rPr>
        <w:t xml:space="preserve">We exercise powers conferred through </w:t>
      </w:r>
      <w:r w:rsidR="00A83DD5">
        <w:rPr>
          <w:rFonts w:ascii="Segoe UI" w:eastAsia="Cambria" w:hAnsi="Segoe UI" w:cs="Segoe UI"/>
          <w:color w:val="000000" w:themeColor="text1"/>
          <w:sz w:val="21"/>
          <w:szCs w:val="20"/>
        </w:rPr>
        <w:t xml:space="preserve">the following </w:t>
      </w:r>
      <w:r w:rsidR="00D00A1F">
        <w:rPr>
          <w:rFonts w:ascii="Segoe UI" w:eastAsia="Cambria" w:hAnsi="Segoe UI" w:cs="Segoe UI"/>
          <w:color w:val="000000" w:themeColor="text1"/>
          <w:sz w:val="21"/>
          <w:szCs w:val="20"/>
        </w:rPr>
        <w:t>legislation</w:t>
      </w:r>
      <w:r w:rsidRPr="00506128">
        <w:rPr>
          <w:rFonts w:ascii="Segoe UI" w:eastAsia="Cambria" w:hAnsi="Segoe UI" w:cs="Segoe UI"/>
          <w:color w:val="000000" w:themeColor="text1"/>
          <w:sz w:val="21"/>
          <w:szCs w:val="20"/>
        </w:rPr>
        <w:t>:</w:t>
      </w:r>
    </w:p>
    <w:p w14:paraId="5F2DB9ED" w14:textId="10D9350E" w:rsidR="00CB104E" w:rsidRPr="00D00A1F" w:rsidRDefault="00CB104E" w:rsidP="00A83DD5">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506128">
        <w:rPr>
          <w:rFonts w:ascii="Segoe UI" w:hAnsi="Segoe UI" w:cs="Segoe UI"/>
          <w:i/>
          <w:iCs/>
          <w:color w:val="000000" w:themeColor="text1"/>
          <w:sz w:val="21"/>
        </w:rPr>
        <w:t>Narcotic Drugs Act 1967</w:t>
      </w:r>
    </w:p>
    <w:p w14:paraId="77D50371" w14:textId="79D4676F" w:rsidR="00D00A1F" w:rsidRPr="00506128" w:rsidRDefault="00D00A1F" w:rsidP="00A83DD5">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Pr>
          <w:rFonts w:ascii="Segoe UI" w:hAnsi="Segoe UI" w:cs="Segoe UI"/>
          <w:color w:val="000000" w:themeColor="text1"/>
          <w:sz w:val="21"/>
        </w:rPr>
        <w:t>Narcotic Drugs Regulation 2016</w:t>
      </w:r>
    </w:p>
    <w:p w14:paraId="2F78B6ED" w14:textId="77777777" w:rsidR="00CB104E" w:rsidRPr="00506128" w:rsidRDefault="00CB104E" w:rsidP="00A83DD5">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506128">
        <w:rPr>
          <w:rFonts w:ascii="Segoe UI" w:hAnsi="Segoe UI" w:cs="Segoe UI"/>
          <w:color w:val="000000" w:themeColor="text1"/>
          <w:sz w:val="21"/>
        </w:rPr>
        <w:t>Customs (Prohibited Imports) Regulations 1956</w:t>
      </w:r>
    </w:p>
    <w:p w14:paraId="450E73D8" w14:textId="77777777" w:rsidR="00CB104E" w:rsidRPr="00506128" w:rsidRDefault="00CB104E" w:rsidP="00A83DD5">
      <w:pPr>
        <w:pStyle w:val="ListParagraph"/>
        <w:numPr>
          <w:ilvl w:val="0"/>
          <w:numId w:val="30"/>
        </w:numPr>
        <w:shd w:val="clear" w:color="auto" w:fill="FFFFFF"/>
        <w:spacing w:beforeLines="60" w:before="144" w:afterLines="60" w:after="144" w:line="276" w:lineRule="auto"/>
        <w:rPr>
          <w:rFonts w:ascii="Segoe UI" w:hAnsi="Segoe UI" w:cs="Segoe UI"/>
          <w:color w:val="000000" w:themeColor="text1"/>
          <w:sz w:val="21"/>
        </w:rPr>
      </w:pPr>
      <w:r w:rsidRPr="00506128">
        <w:rPr>
          <w:rFonts w:ascii="Segoe UI" w:hAnsi="Segoe UI" w:cs="Segoe UI"/>
          <w:color w:val="000000" w:themeColor="text1"/>
          <w:sz w:val="21"/>
        </w:rPr>
        <w:t>Customs (Prohibited Exports) Regulations 1958</w:t>
      </w:r>
    </w:p>
    <w:p w14:paraId="567F05D3" w14:textId="6D047567" w:rsidR="00CB104E" w:rsidRPr="006868C8" w:rsidRDefault="00CB104E" w:rsidP="006868C8">
      <w:pPr>
        <w:pStyle w:val="Heading2"/>
        <w:keepLines/>
        <w:spacing w:before="480" w:after="120" w:line="240" w:lineRule="atLeast"/>
        <w:rPr>
          <w:rFonts w:ascii="Segoe UI" w:hAnsi="Segoe UI" w:cs="Segoe UI"/>
          <w:bCs w:val="0"/>
          <w:iCs w:val="0"/>
          <w:color w:val="333399"/>
          <w:sz w:val="38"/>
          <w:szCs w:val="38"/>
        </w:rPr>
      </w:pPr>
      <w:bookmarkStart w:id="6" w:name="_Toc112663421"/>
      <w:r w:rsidRPr="006868C8">
        <w:rPr>
          <w:rFonts w:ascii="Segoe UI" w:hAnsi="Segoe UI" w:cs="Segoe UI"/>
          <w:bCs w:val="0"/>
          <w:iCs w:val="0"/>
          <w:color w:val="333399"/>
          <w:sz w:val="38"/>
          <w:szCs w:val="38"/>
        </w:rPr>
        <w:t xml:space="preserve">Our </w:t>
      </w:r>
      <w:r w:rsidR="00594169">
        <w:rPr>
          <w:rFonts w:ascii="Segoe UI" w:hAnsi="Segoe UI" w:cs="Segoe UI"/>
          <w:bCs w:val="0"/>
          <w:iCs w:val="0"/>
          <w:color w:val="333399"/>
          <w:sz w:val="38"/>
          <w:szCs w:val="38"/>
        </w:rPr>
        <w:t>v</w:t>
      </w:r>
      <w:r w:rsidRPr="006868C8">
        <w:rPr>
          <w:rFonts w:ascii="Segoe UI" w:hAnsi="Segoe UI" w:cs="Segoe UI"/>
          <w:bCs w:val="0"/>
          <w:iCs w:val="0"/>
          <w:color w:val="333399"/>
          <w:sz w:val="38"/>
          <w:szCs w:val="38"/>
        </w:rPr>
        <w:t>ision</w:t>
      </w:r>
      <w:bookmarkEnd w:id="6"/>
    </w:p>
    <w:p w14:paraId="02E75165" w14:textId="44ACE06D" w:rsidR="00CB104E" w:rsidRDefault="00CB104E" w:rsidP="00CB104E">
      <w:r w:rsidRPr="002943A9">
        <w:rPr>
          <w:rFonts w:ascii="Segoe UI" w:hAnsi="Segoe UI" w:cs="Segoe UI"/>
          <w:sz w:val="21"/>
          <w:szCs w:val="21"/>
        </w:rPr>
        <w:t>Our vision is for</w:t>
      </w:r>
      <w:r>
        <w:rPr>
          <w:sz w:val="21"/>
          <w:szCs w:val="21"/>
        </w:rPr>
        <w:t xml:space="preserve"> </w:t>
      </w:r>
      <w:r w:rsidRPr="00506128">
        <w:rPr>
          <w:rFonts w:ascii="Segoe UI" w:eastAsia="Cambria" w:hAnsi="Segoe UI" w:cs="Segoe UI"/>
          <w:b/>
          <w:color w:val="333399"/>
          <w:sz w:val="21"/>
          <w:szCs w:val="22"/>
        </w:rPr>
        <w:t>effective regulation of controlled drugs to prevent illicit supply and use, while maintaining access to essential medications</w:t>
      </w:r>
      <w:r>
        <w:rPr>
          <w:sz w:val="21"/>
          <w:szCs w:val="21"/>
        </w:rPr>
        <w:t xml:space="preserve">. </w:t>
      </w:r>
      <w:r w:rsidRPr="002943A9">
        <w:rPr>
          <w:rFonts w:ascii="Segoe UI" w:hAnsi="Segoe UI" w:cs="Segoe UI"/>
          <w:sz w:val="21"/>
          <w:szCs w:val="21"/>
        </w:rPr>
        <w:t>This links with the Department</w:t>
      </w:r>
      <w:r w:rsidR="00070498">
        <w:rPr>
          <w:rFonts w:ascii="Segoe UI" w:hAnsi="Segoe UI" w:cs="Segoe UI"/>
          <w:sz w:val="21"/>
          <w:szCs w:val="21"/>
        </w:rPr>
        <w:t>’s</w:t>
      </w:r>
      <w:r w:rsidRPr="002943A9">
        <w:rPr>
          <w:rFonts w:ascii="Segoe UI" w:hAnsi="Segoe UI" w:cs="Segoe UI"/>
          <w:sz w:val="21"/>
          <w:szCs w:val="21"/>
        </w:rPr>
        <w:t xml:space="preserve"> vision of</w:t>
      </w:r>
      <w:r>
        <w:rPr>
          <w:sz w:val="21"/>
          <w:szCs w:val="21"/>
        </w:rPr>
        <w:t xml:space="preserve"> </w:t>
      </w:r>
      <w:r w:rsidRPr="00506128">
        <w:rPr>
          <w:rFonts w:ascii="Segoe UI" w:eastAsia="Cambria" w:hAnsi="Segoe UI" w:cs="Segoe UI"/>
          <w:b/>
          <w:color w:val="333399"/>
          <w:sz w:val="21"/>
          <w:szCs w:val="22"/>
        </w:rPr>
        <w:t>better health and wellbeing for all Australians, now and for future</w:t>
      </w:r>
      <w:r>
        <w:rPr>
          <w:b/>
          <w:bCs/>
          <w:sz w:val="21"/>
          <w:szCs w:val="21"/>
        </w:rPr>
        <w:t xml:space="preserve"> </w:t>
      </w:r>
      <w:r w:rsidRPr="00506128">
        <w:rPr>
          <w:rFonts w:ascii="Segoe UI" w:eastAsia="Cambria" w:hAnsi="Segoe UI" w:cs="Segoe UI"/>
          <w:b/>
          <w:color w:val="333399"/>
          <w:sz w:val="21"/>
          <w:szCs w:val="22"/>
        </w:rPr>
        <w:t>generations.</w:t>
      </w:r>
      <w:r w:rsidRPr="00E71147" w:rsidDel="005F770C">
        <w:t xml:space="preserve"> </w:t>
      </w:r>
    </w:p>
    <w:p w14:paraId="15F17326" w14:textId="77777777" w:rsidR="002943A9" w:rsidRDefault="002943A9">
      <w:pPr>
        <w:rPr>
          <w:rFonts w:ascii="Segoe UI" w:hAnsi="Segoe UI" w:cs="Segoe UI"/>
          <w:color w:val="333399"/>
          <w:sz w:val="38"/>
          <w:szCs w:val="38"/>
        </w:rPr>
      </w:pPr>
      <w:r>
        <w:rPr>
          <w:rFonts w:ascii="Segoe UI" w:hAnsi="Segoe UI" w:cs="Segoe UI"/>
          <w:bCs/>
          <w:iCs/>
          <w:color w:val="333399"/>
          <w:sz w:val="38"/>
          <w:szCs w:val="38"/>
        </w:rPr>
        <w:br w:type="page"/>
      </w:r>
    </w:p>
    <w:p w14:paraId="0E2D93F9" w14:textId="77777777" w:rsidR="00CB104E" w:rsidRPr="006868C8" w:rsidRDefault="00CB104E" w:rsidP="006868C8">
      <w:pPr>
        <w:pStyle w:val="Heading2"/>
        <w:keepLines/>
        <w:spacing w:before="480" w:after="120" w:line="240" w:lineRule="atLeast"/>
        <w:rPr>
          <w:rFonts w:ascii="Segoe UI" w:hAnsi="Segoe UI" w:cs="Segoe UI"/>
          <w:bCs w:val="0"/>
          <w:iCs w:val="0"/>
          <w:color w:val="333399"/>
          <w:sz w:val="38"/>
          <w:szCs w:val="38"/>
        </w:rPr>
      </w:pPr>
      <w:bookmarkStart w:id="7" w:name="_Toc112663422"/>
      <w:r w:rsidRPr="006868C8">
        <w:rPr>
          <w:rFonts w:ascii="Segoe UI" w:hAnsi="Segoe UI" w:cs="Segoe UI"/>
          <w:bCs w:val="0"/>
          <w:iCs w:val="0"/>
          <w:color w:val="333399"/>
          <w:sz w:val="38"/>
          <w:szCs w:val="38"/>
        </w:rPr>
        <w:lastRenderedPageBreak/>
        <w:t>Measuring our performance</w:t>
      </w:r>
      <w:bookmarkEnd w:id="7"/>
    </w:p>
    <w:p w14:paraId="05928144" w14:textId="372A7CB5" w:rsidR="00CB104E" w:rsidRPr="00506128" w:rsidRDefault="00CB104E" w:rsidP="00A83DD5">
      <w:pPr>
        <w:keepNext/>
        <w:spacing w:before="120" w:after="180" w:line="240" w:lineRule="atLeast"/>
        <w:rPr>
          <w:rFonts w:ascii="Segoe UI" w:eastAsia="Cambria" w:hAnsi="Segoe UI" w:cs="Segoe UI"/>
          <w:color w:val="000000"/>
          <w:sz w:val="21"/>
          <w:szCs w:val="20"/>
        </w:rPr>
      </w:pPr>
      <w:r w:rsidRPr="00506128">
        <w:rPr>
          <w:rFonts w:ascii="Segoe UI" w:eastAsia="Cambria" w:hAnsi="Segoe UI" w:cs="Segoe UI"/>
          <w:color w:val="000000"/>
          <w:sz w:val="21"/>
          <w:szCs w:val="20"/>
        </w:rPr>
        <w:t xml:space="preserve">We undertake our regulatory functions by applying </w:t>
      </w:r>
      <w:r w:rsidR="00E926FB">
        <w:rPr>
          <w:rFonts w:ascii="Segoe UI" w:eastAsia="Cambria" w:hAnsi="Segoe UI" w:cs="Segoe UI"/>
          <w:color w:val="000000"/>
          <w:sz w:val="21"/>
          <w:szCs w:val="20"/>
        </w:rPr>
        <w:t>three</w:t>
      </w:r>
      <w:r w:rsidR="00E926FB" w:rsidRPr="00506128">
        <w:rPr>
          <w:rFonts w:ascii="Segoe UI" w:eastAsia="Cambria" w:hAnsi="Segoe UI" w:cs="Segoe UI"/>
          <w:color w:val="000000"/>
          <w:sz w:val="21"/>
          <w:szCs w:val="20"/>
        </w:rPr>
        <w:t xml:space="preserve"> </w:t>
      </w:r>
      <w:r w:rsidRPr="00506128">
        <w:rPr>
          <w:rFonts w:ascii="Segoe UI" w:eastAsia="Cambria" w:hAnsi="Segoe UI" w:cs="Segoe UI"/>
          <w:color w:val="000000"/>
          <w:sz w:val="21"/>
          <w:szCs w:val="20"/>
        </w:rPr>
        <w:t xml:space="preserve">principles of regulator best practice: </w:t>
      </w:r>
    </w:p>
    <w:p w14:paraId="6075BDF5" w14:textId="77777777" w:rsidR="00CB104E" w:rsidRPr="00506128" w:rsidRDefault="00CB104E" w:rsidP="00A83DD5">
      <w:pPr>
        <w:keepNext/>
        <w:numPr>
          <w:ilvl w:val="0"/>
          <w:numId w:val="31"/>
        </w:numPr>
        <w:spacing w:before="120" w:after="180" w:line="240" w:lineRule="atLeast"/>
        <w:rPr>
          <w:rFonts w:ascii="Segoe UI" w:eastAsia="Cambria" w:hAnsi="Segoe UI" w:cs="Segoe UI"/>
          <w:b/>
          <w:bCs/>
          <w:sz w:val="21"/>
          <w:szCs w:val="20"/>
        </w:rPr>
      </w:pPr>
      <w:bookmarkStart w:id="8" w:name="_Toc74731298"/>
      <w:r w:rsidRPr="00506128">
        <w:rPr>
          <w:rFonts w:ascii="Segoe UI" w:eastAsia="Cambria" w:hAnsi="Segoe UI" w:cs="Segoe UI"/>
          <w:b/>
          <w:bCs/>
          <w:sz w:val="21"/>
          <w:szCs w:val="20"/>
        </w:rPr>
        <w:t>Continuous improvement and building trust</w:t>
      </w:r>
      <w:bookmarkEnd w:id="8"/>
      <w:r w:rsidRPr="00506128">
        <w:rPr>
          <w:rFonts w:ascii="Segoe UI" w:eastAsia="Cambria" w:hAnsi="Segoe UI" w:cs="Segoe UI"/>
          <w:b/>
          <w:bCs/>
          <w:sz w:val="21"/>
          <w:szCs w:val="20"/>
        </w:rPr>
        <w:t>:</w:t>
      </w:r>
    </w:p>
    <w:p w14:paraId="200538F2" w14:textId="77777777" w:rsidR="00CB104E" w:rsidRPr="00506128" w:rsidRDefault="00CB104E" w:rsidP="00CB104E">
      <w:pPr>
        <w:spacing w:before="120" w:after="180" w:line="240" w:lineRule="atLeast"/>
        <w:ind w:left="360"/>
        <w:rPr>
          <w:rFonts w:ascii="Segoe UI" w:eastAsia="Cambria" w:hAnsi="Segoe UI" w:cs="Segoe UI"/>
          <w:sz w:val="21"/>
          <w:szCs w:val="20"/>
        </w:rPr>
      </w:pPr>
      <w:r w:rsidRPr="00506128">
        <w:rPr>
          <w:rFonts w:ascii="Segoe UI" w:eastAsia="Cambria" w:hAnsi="Segoe UI" w:cs="Segoe UI"/>
          <w:sz w:val="21"/>
          <w:szCs w:val="20"/>
        </w:rPr>
        <w:t>We will:</w:t>
      </w:r>
    </w:p>
    <w:p w14:paraId="036666B2" w14:textId="77777777" w:rsidR="00CB104E" w:rsidRPr="00506128" w:rsidRDefault="00CB104E" w:rsidP="002E41DC">
      <w:pPr>
        <w:numPr>
          <w:ilvl w:val="1"/>
          <w:numId w:val="31"/>
        </w:numPr>
        <w:spacing w:before="120" w:after="120" w:line="240" w:lineRule="atLeast"/>
        <w:ind w:left="1434" w:hanging="357"/>
        <w:rPr>
          <w:rFonts w:ascii="Segoe UI" w:eastAsia="Cambria" w:hAnsi="Segoe UI" w:cs="Segoe UI"/>
          <w:sz w:val="21"/>
          <w:szCs w:val="20"/>
        </w:rPr>
      </w:pPr>
      <w:r w:rsidRPr="00506128">
        <w:rPr>
          <w:rFonts w:ascii="Segoe UI" w:eastAsia="Cambria" w:hAnsi="Segoe UI" w:cs="Segoe UI"/>
          <w:sz w:val="21"/>
          <w:szCs w:val="20"/>
        </w:rPr>
        <w:t>use qualitative and quantitative analysis to assess and report on performance, and drive evidence-based continuous improvement</w:t>
      </w:r>
    </w:p>
    <w:p w14:paraId="0A7E78C9" w14:textId="77777777" w:rsidR="00CB104E" w:rsidRDefault="00CB104E" w:rsidP="002E41DC">
      <w:pPr>
        <w:numPr>
          <w:ilvl w:val="1"/>
          <w:numId w:val="31"/>
        </w:numPr>
        <w:spacing w:before="120" w:after="120" w:line="240" w:lineRule="atLeast"/>
        <w:ind w:left="1434" w:hanging="357"/>
        <w:rPr>
          <w:rFonts w:ascii="Segoe UI" w:eastAsia="Cambria" w:hAnsi="Segoe UI" w:cs="Segoe UI"/>
          <w:sz w:val="21"/>
          <w:szCs w:val="20"/>
        </w:rPr>
      </w:pPr>
      <w:r w:rsidRPr="00506128">
        <w:rPr>
          <w:rFonts w:ascii="Segoe UI" w:eastAsia="Cambria" w:hAnsi="Segoe UI" w:cs="Segoe UI"/>
          <w:sz w:val="21"/>
          <w:szCs w:val="20"/>
        </w:rPr>
        <w:t>promote a culture that builds public confidence in our work and trust in our decision-making.</w:t>
      </w:r>
    </w:p>
    <w:p w14:paraId="30EC5A63" w14:textId="77777777" w:rsidR="00CB104E" w:rsidRPr="00506128" w:rsidRDefault="00CB104E" w:rsidP="00CB104E">
      <w:pPr>
        <w:spacing w:before="120" w:after="180" w:line="240" w:lineRule="atLeast"/>
        <w:ind w:left="1080"/>
        <w:contextualSpacing/>
        <w:rPr>
          <w:rFonts w:ascii="Segoe UI" w:eastAsia="Cambria" w:hAnsi="Segoe UI" w:cs="Segoe UI"/>
          <w:sz w:val="21"/>
          <w:szCs w:val="20"/>
        </w:rPr>
      </w:pPr>
    </w:p>
    <w:p w14:paraId="7654579C" w14:textId="77777777" w:rsidR="00CB104E" w:rsidRPr="00506128" w:rsidRDefault="00CB104E" w:rsidP="00CB104E">
      <w:pPr>
        <w:numPr>
          <w:ilvl w:val="0"/>
          <w:numId w:val="31"/>
        </w:numPr>
        <w:spacing w:before="120" w:after="180" w:line="240" w:lineRule="atLeast"/>
        <w:rPr>
          <w:rFonts w:ascii="Segoe UI" w:eastAsia="Cambria" w:hAnsi="Segoe UI" w:cs="Segoe UI"/>
          <w:b/>
          <w:bCs/>
          <w:sz w:val="21"/>
          <w:szCs w:val="20"/>
        </w:rPr>
      </w:pPr>
      <w:bookmarkStart w:id="9" w:name="_Toc74731299"/>
      <w:r w:rsidRPr="00506128">
        <w:rPr>
          <w:rFonts w:ascii="Segoe UI" w:eastAsia="Cambria" w:hAnsi="Segoe UI" w:cs="Segoe UI"/>
          <w:b/>
          <w:bCs/>
          <w:sz w:val="21"/>
          <w:szCs w:val="20"/>
        </w:rPr>
        <w:t>Risk based and data driven</w:t>
      </w:r>
      <w:bookmarkEnd w:id="9"/>
      <w:r w:rsidRPr="00506128">
        <w:rPr>
          <w:rFonts w:ascii="Segoe UI" w:eastAsia="Cambria" w:hAnsi="Segoe UI" w:cs="Segoe UI"/>
          <w:b/>
          <w:bCs/>
          <w:sz w:val="21"/>
          <w:szCs w:val="20"/>
        </w:rPr>
        <w:t>:</w:t>
      </w:r>
    </w:p>
    <w:p w14:paraId="1CB1FF19" w14:textId="77777777" w:rsidR="00CB104E" w:rsidRPr="00506128" w:rsidRDefault="00CB104E" w:rsidP="00CB104E">
      <w:pPr>
        <w:spacing w:before="120" w:after="180" w:line="240" w:lineRule="atLeast"/>
        <w:ind w:left="360"/>
        <w:rPr>
          <w:rFonts w:ascii="Segoe UI" w:eastAsia="Cambria" w:hAnsi="Segoe UI" w:cs="Segoe UI"/>
          <w:sz w:val="21"/>
          <w:szCs w:val="20"/>
        </w:rPr>
      </w:pPr>
      <w:r w:rsidRPr="00506128">
        <w:rPr>
          <w:rFonts w:ascii="Segoe UI" w:eastAsia="Cambria" w:hAnsi="Segoe UI" w:cs="Segoe UI"/>
          <w:sz w:val="21"/>
          <w:szCs w:val="20"/>
        </w:rPr>
        <w:t>We will:</w:t>
      </w:r>
    </w:p>
    <w:p w14:paraId="73942CA2" w14:textId="77777777" w:rsidR="00CB104E" w:rsidRPr="00506128" w:rsidRDefault="00CB104E" w:rsidP="002E41DC">
      <w:pPr>
        <w:numPr>
          <w:ilvl w:val="1"/>
          <w:numId w:val="31"/>
        </w:numPr>
        <w:spacing w:before="120" w:after="120" w:line="240" w:lineRule="atLeast"/>
        <w:ind w:left="1434" w:hanging="357"/>
        <w:rPr>
          <w:rFonts w:ascii="Segoe UI" w:eastAsia="Cambria" w:hAnsi="Segoe UI" w:cs="Segoe UI"/>
          <w:sz w:val="21"/>
          <w:szCs w:val="20"/>
        </w:rPr>
      </w:pPr>
      <w:r w:rsidRPr="00506128">
        <w:rPr>
          <w:rFonts w:ascii="Segoe UI" w:eastAsia="Cambria" w:hAnsi="Segoe UI" w:cs="Segoe UI"/>
          <w:sz w:val="21"/>
          <w:szCs w:val="20"/>
        </w:rPr>
        <w:t>actively understand, engage with, and effectively mitigate strategic risks to successfully manage our regulatory functions without unnecessarily impeding the operations of regulated entities</w:t>
      </w:r>
    </w:p>
    <w:p w14:paraId="168138CB" w14:textId="77777777" w:rsidR="00CB104E" w:rsidRDefault="00CB104E" w:rsidP="00CB104E">
      <w:pPr>
        <w:numPr>
          <w:ilvl w:val="1"/>
          <w:numId w:val="31"/>
        </w:numPr>
        <w:spacing w:before="120" w:after="180" w:line="240" w:lineRule="atLeast"/>
        <w:contextualSpacing/>
        <w:rPr>
          <w:rFonts w:ascii="Segoe UI" w:eastAsia="Cambria" w:hAnsi="Segoe UI" w:cs="Segoe UI"/>
          <w:sz w:val="21"/>
          <w:szCs w:val="20"/>
        </w:rPr>
      </w:pPr>
      <w:r w:rsidRPr="00506128">
        <w:rPr>
          <w:rFonts w:ascii="Segoe UI" w:eastAsia="Cambria" w:hAnsi="Segoe UI" w:cs="Segoe UI"/>
          <w:sz w:val="21"/>
          <w:szCs w:val="20"/>
        </w:rPr>
        <w:t>use data sources that meet relevant data assurance standards for assessing and reporting on the quality of statistical information</w:t>
      </w:r>
    </w:p>
    <w:p w14:paraId="766C739F" w14:textId="77777777" w:rsidR="00CB104E" w:rsidRPr="00506128" w:rsidRDefault="00CB104E" w:rsidP="00CB104E">
      <w:pPr>
        <w:spacing w:before="120" w:after="180" w:line="240" w:lineRule="atLeast"/>
        <w:ind w:left="1440"/>
        <w:contextualSpacing/>
        <w:rPr>
          <w:rFonts w:ascii="Segoe UI" w:eastAsia="Cambria" w:hAnsi="Segoe UI" w:cs="Segoe UI"/>
          <w:sz w:val="21"/>
          <w:szCs w:val="20"/>
        </w:rPr>
      </w:pPr>
    </w:p>
    <w:p w14:paraId="399C9D96" w14:textId="77777777" w:rsidR="00CB104E" w:rsidRPr="00506128" w:rsidRDefault="00CB104E" w:rsidP="00CB104E">
      <w:pPr>
        <w:numPr>
          <w:ilvl w:val="0"/>
          <w:numId w:val="31"/>
        </w:numPr>
        <w:spacing w:before="120" w:after="180" w:line="240" w:lineRule="atLeast"/>
        <w:rPr>
          <w:rFonts w:ascii="Segoe UI" w:eastAsia="Cambria" w:hAnsi="Segoe UI" w:cs="Segoe UI"/>
          <w:b/>
          <w:bCs/>
          <w:sz w:val="21"/>
          <w:szCs w:val="20"/>
        </w:rPr>
      </w:pPr>
      <w:bookmarkStart w:id="10" w:name="_Toc74731300"/>
      <w:r w:rsidRPr="00506128">
        <w:rPr>
          <w:rFonts w:ascii="Segoe UI" w:eastAsia="Cambria" w:hAnsi="Segoe UI" w:cs="Segoe UI"/>
          <w:b/>
          <w:bCs/>
          <w:sz w:val="21"/>
          <w:szCs w:val="20"/>
        </w:rPr>
        <w:t>Collaboration and engagement</w:t>
      </w:r>
      <w:bookmarkEnd w:id="10"/>
      <w:r w:rsidRPr="00506128">
        <w:rPr>
          <w:rFonts w:ascii="Segoe UI" w:eastAsia="Cambria" w:hAnsi="Segoe UI" w:cs="Segoe UI"/>
          <w:b/>
          <w:bCs/>
          <w:sz w:val="21"/>
          <w:szCs w:val="20"/>
        </w:rPr>
        <w:t>:</w:t>
      </w:r>
    </w:p>
    <w:p w14:paraId="48566307" w14:textId="77777777" w:rsidR="00CB104E" w:rsidRPr="00506128" w:rsidRDefault="00CB104E" w:rsidP="00CB104E">
      <w:pPr>
        <w:spacing w:before="120" w:after="180" w:line="240" w:lineRule="atLeast"/>
        <w:ind w:left="360"/>
        <w:rPr>
          <w:rFonts w:ascii="Segoe UI" w:eastAsia="Cambria" w:hAnsi="Segoe UI" w:cs="Segoe UI"/>
          <w:sz w:val="21"/>
          <w:szCs w:val="20"/>
        </w:rPr>
      </w:pPr>
      <w:r w:rsidRPr="00506128">
        <w:rPr>
          <w:rFonts w:ascii="Segoe UI" w:eastAsia="Cambria" w:hAnsi="Segoe UI" w:cs="Segoe UI"/>
          <w:sz w:val="21"/>
          <w:szCs w:val="20"/>
        </w:rPr>
        <w:t>We will:</w:t>
      </w:r>
    </w:p>
    <w:p w14:paraId="3521CDB9" w14:textId="77777777" w:rsidR="00CB104E" w:rsidRPr="00506128" w:rsidRDefault="00CB104E" w:rsidP="002E41DC">
      <w:pPr>
        <w:numPr>
          <w:ilvl w:val="1"/>
          <w:numId w:val="31"/>
        </w:numPr>
        <w:spacing w:before="120" w:after="120" w:line="240" w:lineRule="atLeast"/>
        <w:ind w:left="1434" w:hanging="357"/>
        <w:rPr>
          <w:rFonts w:ascii="Segoe UI" w:eastAsia="Cambria" w:hAnsi="Segoe UI" w:cs="Segoe UI"/>
          <w:sz w:val="21"/>
          <w:szCs w:val="20"/>
        </w:rPr>
      </w:pPr>
      <w:r w:rsidRPr="00506128">
        <w:rPr>
          <w:rFonts w:ascii="Segoe UI" w:eastAsia="Cambria" w:hAnsi="Segoe UI" w:cs="Segoe UI"/>
          <w:sz w:val="21"/>
          <w:szCs w:val="20"/>
        </w:rPr>
        <w:t>seek opportunities to inform, engage and consult with our stakeholders and the Australian community</w:t>
      </w:r>
    </w:p>
    <w:p w14:paraId="6CDE054D" w14:textId="77777777" w:rsidR="00CB104E" w:rsidRPr="00506128" w:rsidRDefault="00CB104E" w:rsidP="002E41DC">
      <w:pPr>
        <w:numPr>
          <w:ilvl w:val="1"/>
          <w:numId w:val="31"/>
        </w:numPr>
        <w:spacing w:before="120" w:after="120" w:line="240" w:lineRule="atLeast"/>
        <w:ind w:left="1434" w:hanging="357"/>
        <w:rPr>
          <w:rFonts w:ascii="Segoe UI" w:eastAsia="Cambria" w:hAnsi="Segoe UI" w:cs="Segoe UI"/>
          <w:sz w:val="21"/>
          <w:szCs w:val="20"/>
        </w:rPr>
      </w:pPr>
      <w:r w:rsidRPr="00506128">
        <w:rPr>
          <w:rFonts w:ascii="Segoe UI" w:eastAsia="Cambria" w:hAnsi="Segoe UI" w:cs="Segoe UI"/>
          <w:sz w:val="21"/>
          <w:szCs w:val="20"/>
        </w:rPr>
        <w:t>be receptive to feedback and diverse stakeholder views</w:t>
      </w:r>
    </w:p>
    <w:p w14:paraId="1C7E45AC" w14:textId="77777777" w:rsidR="00CB104E" w:rsidRPr="00506128" w:rsidRDefault="00CB104E" w:rsidP="002E41DC">
      <w:pPr>
        <w:numPr>
          <w:ilvl w:val="1"/>
          <w:numId w:val="31"/>
        </w:numPr>
        <w:spacing w:before="120" w:after="120" w:line="240" w:lineRule="atLeast"/>
        <w:ind w:left="1434" w:hanging="357"/>
        <w:rPr>
          <w:rFonts w:ascii="Segoe UI" w:eastAsia="Cambria" w:hAnsi="Segoe UI" w:cs="Segoe UI"/>
          <w:sz w:val="21"/>
          <w:szCs w:val="20"/>
        </w:rPr>
      </w:pPr>
      <w:r w:rsidRPr="00506128">
        <w:rPr>
          <w:rFonts w:ascii="Segoe UI" w:eastAsia="Cambria" w:hAnsi="Segoe UI" w:cs="Segoe UI"/>
          <w:sz w:val="21"/>
          <w:szCs w:val="20"/>
        </w:rPr>
        <w:t>seek to increase transparency in decision-making processes</w:t>
      </w:r>
    </w:p>
    <w:p w14:paraId="44FCA596" w14:textId="41847069" w:rsidR="00CB104E" w:rsidRPr="00D00A1F" w:rsidRDefault="00CB104E" w:rsidP="002E41DC">
      <w:pPr>
        <w:numPr>
          <w:ilvl w:val="1"/>
          <w:numId w:val="31"/>
        </w:numPr>
        <w:spacing w:before="120" w:after="120" w:line="240" w:lineRule="atLeast"/>
        <w:ind w:left="1434" w:hanging="357"/>
        <w:rPr>
          <w:rFonts w:ascii="Segoe UI" w:eastAsia="Cambria" w:hAnsi="Segoe UI" w:cs="Segoe UI"/>
          <w:sz w:val="21"/>
          <w:szCs w:val="20"/>
        </w:rPr>
      </w:pPr>
      <w:r w:rsidRPr="00506128">
        <w:rPr>
          <w:rFonts w:ascii="Segoe UI" w:eastAsia="Cambria" w:hAnsi="Segoe UI" w:cs="Segoe UI"/>
          <w:sz w:val="21"/>
          <w:szCs w:val="20"/>
        </w:rPr>
        <w:t>provide up-to-date, clear, and accessible guidance and information to assist regulated entities with compliance.</w:t>
      </w:r>
    </w:p>
    <w:p w14:paraId="2B694149" w14:textId="12A3D203" w:rsidR="00CB104E" w:rsidRPr="00506128" w:rsidRDefault="00CB104E" w:rsidP="002E41DC">
      <w:pPr>
        <w:pStyle w:val="Paragraphtext"/>
        <w:spacing w:before="180" w:after="120"/>
        <w:rPr>
          <w:rFonts w:ascii="Segoe UI" w:hAnsi="Segoe UI" w:cs="Segoe UI"/>
        </w:rPr>
      </w:pPr>
      <w:r w:rsidRPr="00506128">
        <w:rPr>
          <w:rFonts w:ascii="Segoe UI" w:hAnsi="Segoe UI" w:cs="Segoe UI"/>
        </w:rPr>
        <w:t xml:space="preserve">These three principles provide a platform for </w:t>
      </w:r>
      <w:r w:rsidR="00E926FB">
        <w:rPr>
          <w:rFonts w:ascii="Segoe UI" w:hAnsi="Segoe UI" w:cs="Segoe UI"/>
        </w:rPr>
        <w:t xml:space="preserve">the </w:t>
      </w:r>
      <w:r w:rsidRPr="00506128">
        <w:rPr>
          <w:rFonts w:ascii="Segoe UI" w:hAnsi="Segoe UI" w:cs="Segoe UI"/>
        </w:rPr>
        <w:t>ODC to develop and implement the following strategic objectives:</w:t>
      </w:r>
    </w:p>
    <w:p w14:paraId="7FFA6688" w14:textId="77777777" w:rsidR="00CB104E" w:rsidRPr="00506128" w:rsidRDefault="00CB104E" w:rsidP="00CB104E">
      <w:pPr>
        <w:pStyle w:val="Paragraphtext"/>
        <w:numPr>
          <w:ilvl w:val="0"/>
          <w:numId w:val="39"/>
        </w:numPr>
        <w:spacing w:beforeLines="60" w:before="144" w:afterLines="60" w:after="144"/>
        <w:rPr>
          <w:rFonts w:ascii="Segoe UI" w:hAnsi="Segoe UI" w:cs="Segoe UI"/>
        </w:rPr>
      </w:pPr>
      <w:r w:rsidRPr="00506128">
        <w:rPr>
          <w:rFonts w:ascii="Segoe UI" w:hAnsi="Segoe UI" w:cs="Segoe UI"/>
        </w:rPr>
        <w:t>Meet our international obligations</w:t>
      </w:r>
    </w:p>
    <w:p w14:paraId="443C6784" w14:textId="77777777" w:rsidR="00CB104E" w:rsidRPr="00506128" w:rsidRDefault="00CB104E" w:rsidP="00CB104E">
      <w:pPr>
        <w:pStyle w:val="Paragraphtext"/>
        <w:numPr>
          <w:ilvl w:val="0"/>
          <w:numId w:val="39"/>
        </w:numPr>
        <w:spacing w:beforeLines="60" w:before="144" w:afterLines="60" w:after="144"/>
        <w:rPr>
          <w:rFonts w:ascii="Segoe UI" w:hAnsi="Segoe UI" w:cs="Segoe UI"/>
        </w:rPr>
      </w:pPr>
      <w:r w:rsidRPr="00506128">
        <w:rPr>
          <w:rFonts w:ascii="Segoe UI" w:hAnsi="Segoe UI" w:cs="Segoe UI"/>
        </w:rPr>
        <w:t>Actively engage with our stakeholders</w:t>
      </w:r>
      <w:r w:rsidRPr="00506128" w:rsidDel="008708BA">
        <w:rPr>
          <w:rFonts w:ascii="Segoe UI" w:hAnsi="Segoe UI" w:cs="Segoe UI"/>
        </w:rPr>
        <w:t xml:space="preserve"> </w:t>
      </w:r>
    </w:p>
    <w:p w14:paraId="5C5C1362" w14:textId="77777777" w:rsidR="00CB104E" w:rsidRPr="00506128" w:rsidRDefault="00CB104E" w:rsidP="00CB104E">
      <w:pPr>
        <w:pStyle w:val="Paragraphtext"/>
        <w:numPr>
          <w:ilvl w:val="0"/>
          <w:numId w:val="39"/>
        </w:numPr>
        <w:spacing w:beforeLines="60" w:before="144" w:afterLines="60" w:after="144"/>
        <w:rPr>
          <w:rFonts w:ascii="Segoe UI" w:hAnsi="Segoe UI" w:cs="Segoe UI"/>
        </w:rPr>
      </w:pPr>
      <w:r w:rsidRPr="00506128">
        <w:rPr>
          <w:rFonts w:ascii="Segoe UI" w:hAnsi="Segoe UI" w:cs="Segoe UI"/>
        </w:rPr>
        <w:t xml:space="preserve">Promote compliance with regulatory requirements </w:t>
      </w:r>
    </w:p>
    <w:p w14:paraId="53608E09" w14:textId="77777777" w:rsidR="00CB104E" w:rsidRPr="00506128" w:rsidRDefault="00CB104E" w:rsidP="00CB104E">
      <w:pPr>
        <w:pStyle w:val="Paragraphtext"/>
        <w:numPr>
          <w:ilvl w:val="0"/>
          <w:numId w:val="39"/>
        </w:numPr>
        <w:spacing w:beforeLines="60" w:before="144" w:afterLines="60" w:after="144"/>
        <w:rPr>
          <w:rFonts w:ascii="Segoe UI" w:hAnsi="Segoe UI" w:cs="Segoe UI"/>
        </w:rPr>
      </w:pPr>
      <w:r w:rsidRPr="00506128">
        <w:rPr>
          <w:rFonts w:ascii="Segoe UI" w:hAnsi="Segoe UI" w:cs="Segoe UI"/>
        </w:rPr>
        <w:t>Innovate and continuously improve.</w:t>
      </w:r>
    </w:p>
    <w:p w14:paraId="2420B3CE" w14:textId="77777777" w:rsidR="002470BB" w:rsidRDefault="002470BB">
      <w:pPr>
        <w:rPr>
          <w:rFonts w:ascii="Segoe UI" w:hAnsi="Segoe UI" w:cs="Segoe UI"/>
          <w:color w:val="333399"/>
          <w:sz w:val="38"/>
          <w:szCs w:val="38"/>
        </w:rPr>
      </w:pPr>
      <w:bookmarkStart w:id="11" w:name="_Toc112663423"/>
      <w:bookmarkStart w:id="12" w:name="_Toc18335752"/>
      <w:bookmarkStart w:id="13" w:name="_Toc101442842"/>
      <w:bookmarkStart w:id="14" w:name="_Toc104273362"/>
      <w:r>
        <w:rPr>
          <w:rFonts w:ascii="Segoe UI" w:hAnsi="Segoe UI" w:cs="Segoe UI"/>
          <w:bCs/>
          <w:iCs/>
          <w:color w:val="333399"/>
          <w:sz w:val="38"/>
          <w:szCs w:val="38"/>
        </w:rPr>
        <w:br w:type="page"/>
      </w:r>
    </w:p>
    <w:p w14:paraId="078EBCE5" w14:textId="2618E548" w:rsidR="00A83DD5" w:rsidRPr="007D1C00" w:rsidRDefault="00A83DD5" w:rsidP="007D1C00">
      <w:pPr>
        <w:pStyle w:val="Heading2"/>
        <w:keepLines/>
        <w:spacing w:before="480" w:after="120" w:line="240" w:lineRule="atLeast"/>
        <w:rPr>
          <w:rFonts w:ascii="Segoe UI" w:hAnsi="Segoe UI" w:cs="Segoe UI"/>
          <w:bCs w:val="0"/>
          <w:iCs w:val="0"/>
          <w:color w:val="333399"/>
          <w:sz w:val="38"/>
          <w:szCs w:val="38"/>
        </w:rPr>
      </w:pPr>
      <w:r w:rsidRPr="007D1C00">
        <w:rPr>
          <w:rFonts w:ascii="Segoe UI" w:hAnsi="Segoe UI" w:cs="Segoe UI"/>
          <w:bCs w:val="0"/>
          <w:iCs w:val="0"/>
          <w:color w:val="333399"/>
          <w:sz w:val="38"/>
          <w:szCs w:val="38"/>
        </w:rPr>
        <w:lastRenderedPageBreak/>
        <w:t>Our strategic objectives</w:t>
      </w:r>
      <w:bookmarkEnd w:id="11"/>
      <w:r w:rsidRPr="007D1C00">
        <w:rPr>
          <w:rFonts w:ascii="Segoe UI" w:hAnsi="Segoe UI" w:cs="Segoe UI"/>
          <w:bCs w:val="0"/>
          <w:iCs w:val="0"/>
          <w:color w:val="333399"/>
          <w:sz w:val="38"/>
          <w:szCs w:val="38"/>
        </w:rPr>
        <w:t xml:space="preserve"> </w:t>
      </w:r>
    </w:p>
    <w:p w14:paraId="0B53504B" w14:textId="77777777" w:rsidR="00CB104E" w:rsidRDefault="00CB104E" w:rsidP="00A83DD5">
      <w:pPr>
        <w:pStyle w:val="Heading3"/>
        <w:spacing w:before="240"/>
      </w:pPr>
      <w:bookmarkStart w:id="15" w:name="_Toc112663424"/>
      <w:r>
        <w:t>Strategic objective</w:t>
      </w:r>
      <w:r w:rsidRPr="000F5223">
        <w:t xml:space="preserve"> 1 </w:t>
      </w:r>
      <w:r>
        <w:t>–</w:t>
      </w:r>
      <w:r w:rsidRPr="000F5223">
        <w:t xml:space="preserve"> </w:t>
      </w:r>
      <w:bookmarkEnd w:id="12"/>
      <w:bookmarkEnd w:id="13"/>
      <w:bookmarkEnd w:id="14"/>
      <w:r>
        <w:t>Meet our international obligations</w:t>
      </w:r>
      <w:bookmarkEnd w:id="15"/>
      <w:r>
        <w:t xml:space="preserve"> </w:t>
      </w:r>
    </w:p>
    <w:p w14:paraId="163C164E" w14:textId="77777777" w:rsidR="00CB104E" w:rsidRPr="00506128" w:rsidRDefault="00CB104E" w:rsidP="00E328B3">
      <w:pPr>
        <w:pStyle w:val="Heading4"/>
        <w:keepNext w:val="0"/>
        <w:rPr>
          <w:rFonts w:ascii="Segoe UI" w:hAnsi="Segoe UI" w:cs="Segoe UI"/>
          <w:b w:val="0"/>
          <w:bCs w:val="0"/>
          <w:i w:val="0"/>
          <w:color w:val="000000" w:themeColor="text1"/>
          <w:sz w:val="21"/>
          <w:szCs w:val="24"/>
        </w:rPr>
      </w:pPr>
      <w:r w:rsidRPr="00506128">
        <w:rPr>
          <w:rFonts w:ascii="Segoe UI" w:hAnsi="Segoe UI" w:cs="Segoe UI"/>
          <w:b w:val="0"/>
          <w:bCs w:val="0"/>
          <w:i w:val="0"/>
          <w:color w:val="000000" w:themeColor="text1"/>
          <w:sz w:val="21"/>
          <w:szCs w:val="24"/>
        </w:rPr>
        <w:t>We support Australia’s obligations and provide leadership, both domestically and internationally, in relation to narcotic drugs regulation. The safety and wellbeing of the Australian community will be maintained by meeting our international obligations for the control of narcotic drugs through effective regulation.</w:t>
      </w:r>
    </w:p>
    <w:p w14:paraId="1A3065A3" w14:textId="77777777" w:rsidR="00CB104E" w:rsidRPr="0076145A" w:rsidRDefault="00CB104E" w:rsidP="00CB104E">
      <w:pPr>
        <w:pStyle w:val="Heading4"/>
        <w:rPr>
          <w:rFonts w:ascii="Segoe UI" w:hAnsi="Segoe UI" w:cs="Segoe UI"/>
          <w:i w:val="0"/>
          <w:iCs/>
        </w:rPr>
      </w:pPr>
      <w:r w:rsidRPr="0076145A">
        <w:rPr>
          <w:rFonts w:ascii="Segoe UI" w:hAnsi="Segoe UI" w:cs="Segoe UI"/>
          <w:i w:val="0"/>
          <w:iCs/>
        </w:rPr>
        <w:t xml:space="preserve">Performance Indicators </w:t>
      </w:r>
    </w:p>
    <w:p w14:paraId="4DB7D3A3" w14:textId="77777777"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1.1</w:t>
      </w:r>
      <w:r w:rsidRPr="001A082D">
        <w:rPr>
          <w:rFonts w:ascii="Segoe UI" w:eastAsia="Cambria" w:hAnsi="Segoe UI" w:cs="Segoe UI"/>
          <w:sz w:val="21"/>
          <w:szCs w:val="20"/>
        </w:rPr>
        <w:tab/>
        <w:t xml:space="preserve">Meet our international obligations for the import, export and manufacture of controlled drugs, cultivation of cannabis and use of precursor chemicals. </w:t>
      </w:r>
    </w:p>
    <w:p w14:paraId="203F019D" w14:textId="77777777"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1.2</w:t>
      </w:r>
      <w:r w:rsidRPr="001A082D">
        <w:rPr>
          <w:rFonts w:ascii="Segoe UI" w:eastAsia="Cambria" w:hAnsi="Segoe UI" w:cs="Segoe UI"/>
          <w:sz w:val="21"/>
          <w:szCs w:val="20"/>
        </w:rPr>
        <w:tab/>
        <w:t>Liaise with international authorities to ensure the smooth trade and resolution of issues under the conventions.</w:t>
      </w:r>
    </w:p>
    <w:p w14:paraId="2C2D9F01" w14:textId="77777777"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1.3</w:t>
      </w:r>
      <w:r w:rsidRPr="001A082D">
        <w:rPr>
          <w:rFonts w:ascii="Segoe UI" w:eastAsia="Cambria" w:hAnsi="Segoe UI" w:cs="Segoe UI"/>
          <w:sz w:val="21"/>
          <w:szCs w:val="20"/>
        </w:rPr>
        <w:tab/>
        <w:t>Continue to support the Government’s kava pilot program.</w:t>
      </w:r>
    </w:p>
    <w:p w14:paraId="6D39C154" w14:textId="69A1F367" w:rsidR="00CB104E" w:rsidRPr="001A67E6" w:rsidRDefault="00EC3551" w:rsidP="00CB104E">
      <w:pPr>
        <w:pStyle w:val="Heading4"/>
        <w:rPr>
          <w:rFonts w:ascii="Segoe UI" w:hAnsi="Segoe UI" w:cs="Segoe UI"/>
          <w:i w:val="0"/>
          <w:iCs/>
          <w:sz w:val="21"/>
          <w:szCs w:val="21"/>
        </w:rPr>
      </w:pPr>
      <w:r>
        <w:rPr>
          <w:rFonts w:ascii="Segoe UI" w:hAnsi="Segoe UI" w:cs="Segoe UI"/>
          <w:i w:val="0"/>
          <w:iCs/>
          <w:sz w:val="21"/>
          <w:szCs w:val="21"/>
        </w:rPr>
        <w:t xml:space="preserve">Our focus in </w:t>
      </w:r>
      <w:r w:rsidR="00CB104E" w:rsidRPr="0076145A">
        <w:rPr>
          <w:rFonts w:ascii="Segoe UI" w:hAnsi="Segoe UI" w:cs="Segoe UI"/>
          <w:i w:val="0"/>
          <w:iCs/>
          <w:sz w:val="21"/>
          <w:szCs w:val="21"/>
        </w:rPr>
        <w:t>2022-23</w:t>
      </w:r>
    </w:p>
    <w:p w14:paraId="5BBA96CB" w14:textId="77777777" w:rsidR="00CB104E" w:rsidRPr="001A082D" w:rsidRDefault="00CB104E" w:rsidP="00CB104E">
      <w:pPr>
        <w:pStyle w:val="ListBullet2"/>
        <w:numPr>
          <w:ilvl w:val="0"/>
          <w:numId w:val="36"/>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Ensuring the cultivation of cannabis, manufacture of narcotic drugs and utilisation of drugs are in accordance with international drug treaties and domestic legislation.</w:t>
      </w:r>
    </w:p>
    <w:p w14:paraId="2037DD83" w14:textId="77777777" w:rsidR="00CB104E" w:rsidRPr="001A082D" w:rsidRDefault="00CB104E" w:rsidP="00CB104E">
      <w:pPr>
        <w:pStyle w:val="ListBullet2"/>
        <w:numPr>
          <w:ilvl w:val="0"/>
          <w:numId w:val="36"/>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Meeting timeframes for reporting obligations to the International Narcotics Control Board.</w:t>
      </w:r>
    </w:p>
    <w:p w14:paraId="1A39B66B" w14:textId="77777777" w:rsidR="00CB104E" w:rsidRPr="001A082D" w:rsidRDefault="00CB104E" w:rsidP="00CB104E">
      <w:pPr>
        <w:pStyle w:val="ListBullet2"/>
        <w:numPr>
          <w:ilvl w:val="0"/>
          <w:numId w:val="36"/>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Making timely updates to domestic drug controls due to changes of the international drug treaties.</w:t>
      </w:r>
    </w:p>
    <w:p w14:paraId="3317F9D1" w14:textId="77777777" w:rsidR="00CB104E" w:rsidRPr="001A082D" w:rsidRDefault="00CB104E" w:rsidP="00CB104E">
      <w:pPr>
        <w:pStyle w:val="ListBullet2"/>
        <w:numPr>
          <w:ilvl w:val="0"/>
          <w:numId w:val="36"/>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Engaging with international stakeholders to identify emerging issues and international developments.</w:t>
      </w:r>
    </w:p>
    <w:p w14:paraId="39D7A3B0" w14:textId="77777777" w:rsidR="00CB104E" w:rsidRPr="001A082D" w:rsidRDefault="00CB104E" w:rsidP="00CB104E">
      <w:pPr>
        <w:pStyle w:val="ListBullet2"/>
        <w:numPr>
          <w:ilvl w:val="0"/>
          <w:numId w:val="36"/>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Responding to trade issues to ensure no disruption to access of essential medications.</w:t>
      </w:r>
    </w:p>
    <w:p w14:paraId="20AF6BD5" w14:textId="77777777" w:rsidR="00CB104E" w:rsidRPr="001A082D" w:rsidRDefault="00CB104E" w:rsidP="00CB104E">
      <w:pPr>
        <w:pStyle w:val="ListBullet2"/>
        <w:numPr>
          <w:ilvl w:val="0"/>
          <w:numId w:val="36"/>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Processing import applications and collecting data in support of the kava pilot.</w:t>
      </w:r>
    </w:p>
    <w:p w14:paraId="04C89C81" w14:textId="601FC543" w:rsidR="00CB104E" w:rsidRDefault="00CB104E" w:rsidP="00E328B3">
      <w:pPr>
        <w:pStyle w:val="Heading3"/>
        <w:spacing w:before="360"/>
        <w:ind w:right="-428"/>
      </w:pPr>
      <w:bookmarkStart w:id="16" w:name="_Toc112663425"/>
      <w:r w:rsidRPr="008708BA">
        <w:t>Strategic objective</w:t>
      </w:r>
      <w:r w:rsidRPr="00CD78CE">
        <w:t xml:space="preserve"> 2</w:t>
      </w:r>
      <w:r w:rsidRPr="00E526B5">
        <w:t xml:space="preserve"> – Actively</w:t>
      </w:r>
      <w:r w:rsidR="00AC7D05">
        <w:t xml:space="preserve"> and </w:t>
      </w:r>
      <w:r w:rsidR="007B6F5B">
        <w:t>effectively</w:t>
      </w:r>
      <w:r w:rsidRPr="00E526B5">
        <w:t xml:space="preserve"> engage</w:t>
      </w:r>
      <w:r>
        <w:t xml:space="preserve"> with our stakeholders</w:t>
      </w:r>
      <w:bookmarkEnd w:id="16"/>
    </w:p>
    <w:p w14:paraId="1F28B757" w14:textId="429C007E" w:rsidR="00CB104E" w:rsidRPr="00506128" w:rsidRDefault="00CB104E" w:rsidP="00CB104E">
      <w:pPr>
        <w:pStyle w:val="Heading4"/>
        <w:rPr>
          <w:rFonts w:ascii="Segoe UI" w:hAnsi="Segoe UI" w:cs="Segoe UI"/>
          <w:b w:val="0"/>
          <w:bCs w:val="0"/>
          <w:i w:val="0"/>
          <w:color w:val="000000" w:themeColor="text1"/>
          <w:sz w:val="21"/>
          <w:szCs w:val="24"/>
        </w:rPr>
      </w:pPr>
      <w:r w:rsidRPr="00506128">
        <w:rPr>
          <w:rFonts w:ascii="Segoe UI" w:hAnsi="Segoe UI" w:cs="Segoe UI"/>
          <w:b w:val="0"/>
          <w:bCs w:val="0"/>
          <w:i w:val="0"/>
          <w:color w:val="000000" w:themeColor="text1"/>
          <w:sz w:val="21"/>
          <w:szCs w:val="24"/>
        </w:rPr>
        <w:t>We aim to be</w:t>
      </w:r>
      <w:r w:rsidR="00AC7D05">
        <w:rPr>
          <w:rFonts w:ascii="Segoe UI" w:hAnsi="Segoe UI" w:cs="Segoe UI"/>
          <w:b w:val="0"/>
          <w:bCs w:val="0"/>
          <w:i w:val="0"/>
          <w:color w:val="000000" w:themeColor="text1"/>
          <w:sz w:val="21"/>
          <w:szCs w:val="24"/>
        </w:rPr>
        <w:t xml:space="preserve"> </w:t>
      </w:r>
      <w:r w:rsidRPr="00506128">
        <w:rPr>
          <w:rFonts w:ascii="Segoe UI" w:hAnsi="Segoe UI" w:cs="Segoe UI"/>
          <w:b w:val="0"/>
          <w:bCs w:val="0"/>
          <w:i w:val="0"/>
          <w:color w:val="000000" w:themeColor="text1"/>
          <w:sz w:val="21"/>
          <w:szCs w:val="24"/>
        </w:rPr>
        <w:t>responsive to feedback about our pr</w:t>
      </w:r>
      <w:r w:rsidR="00AC7D05">
        <w:rPr>
          <w:rFonts w:ascii="Segoe UI" w:hAnsi="Segoe UI" w:cs="Segoe UI"/>
          <w:b w:val="0"/>
          <w:bCs w:val="0"/>
          <w:i w:val="0"/>
          <w:color w:val="000000" w:themeColor="text1"/>
          <w:sz w:val="21"/>
          <w:szCs w:val="24"/>
        </w:rPr>
        <w:t>ocess</w:t>
      </w:r>
      <w:r w:rsidR="007B6F5B">
        <w:rPr>
          <w:rFonts w:ascii="Segoe UI" w:hAnsi="Segoe UI" w:cs="Segoe UI"/>
          <w:b w:val="0"/>
          <w:bCs w:val="0"/>
          <w:i w:val="0"/>
          <w:color w:val="000000" w:themeColor="text1"/>
          <w:sz w:val="21"/>
          <w:szCs w:val="24"/>
        </w:rPr>
        <w:t>es</w:t>
      </w:r>
      <w:r w:rsidRPr="00506128">
        <w:rPr>
          <w:rFonts w:ascii="Segoe UI" w:hAnsi="Segoe UI" w:cs="Segoe UI"/>
          <w:b w:val="0"/>
          <w:bCs w:val="0"/>
          <w:i w:val="0"/>
          <w:color w:val="000000" w:themeColor="text1"/>
          <w:sz w:val="21"/>
          <w:szCs w:val="24"/>
        </w:rPr>
        <w:t xml:space="preserve"> and regulatory matters. We engage regularly with many stakeholders and offer a range of mechanisms for the public and regulated entities to engage with us and provide feedback. </w:t>
      </w:r>
    </w:p>
    <w:p w14:paraId="780E3A1A" w14:textId="77777777" w:rsidR="00CB104E" w:rsidRPr="00DB15B6" w:rsidRDefault="00CB104E" w:rsidP="00CB104E">
      <w:pPr>
        <w:pStyle w:val="Heading4"/>
        <w:rPr>
          <w:rFonts w:ascii="Segoe UI" w:hAnsi="Segoe UI" w:cs="Segoe UI"/>
          <w:i w:val="0"/>
          <w:iCs/>
        </w:rPr>
      </w:pPr>
      <w:r w:rsidRPr="00DB15B6">
        <w:rPr>
          <w:rFonts w:ascii="Segoe UI" w:hAnsi="Segoe UI" w:cs="Segoe UI"/>
          <w:i w:val="0"/>
          <w:iCs/>
        </w:rPr>
        <w:t xml:space="preserve">Performance Indicators </w:t>
      </w:r>
    </w:p>
    <w:p w14:paraId="54D7EBCF" w14:textId="77777777"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2.1</w:t>
      </w:r>
      <w:r w:rsidRPr="001A082D">
        <w:rPr>
          <w:rFonts w:ascii="Segoe UI" w:eastAsia="Cambria" w:hAnsi="Segoe UI" w:cs="Segoe UI"/>
          <w:sz w:val="21"/>
          <w:szCs w:val="20"/>
        </w:rPr>
        <w:tab/>
        <w:t>Respond in an effective and timely manner to enquiries.</w:t>
      </w:r>
    </w:p>
    <w:p w14:paraId="2BE31B45" w14:textId="77777777" w:rsidR="00263393"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2.2</w:t>
      </w:r>
      <w:r w:rsidRPr="001A082D">
        <w:rPr>
          <w:rFonts w:ascii="Segoe UI" w:eastAsia="Cambria" w:hAnsi="Segoe UI" w:cs="Segoe UI"/>
          <w:sz w:val="21"/>
          <w:szCs w:val="20"/>
        </w:rPr>
        <w:tab/>
        <w:t>Actively communicate with and educate stakeholders.</w:t>
      </w:r>
    </w:p>
    <w:p w14:paraId="7A7E417B" w14:textId="51671EAE" w:rsidR="00CB104E" w:rsidRPr="001A082D" w:rsidRDefault="00263393" w:rsidP="00CB104E">
      <w:pPr>
        <w:spacing w:before="120" w:after="180" w:line="240" w:lineRule="atLeast"/>
        <w:ind w:left="720" w:hanging="720"/>
        <w:rPr>
          <w:rFonts w:ascii="Segoe UI" w:eastAsia="Cambria" w:hAnsi="Segoe UI" w:cs="Segoe UI"/>
          <w:sz w:val="21"/>
          <w:szCs w:val="20"/>
        </w:rPr>
      </w:pPr>
      <w:r>
        <w:rPr>
          <w:rFonts w:ascii="Segoe UI" w:eastAsia="Cambria" w:hAnsi="Segoe UI" w:cs="Segoe UI"/>
          <w:sz w:val="21"/>
          <w:szCs w:val="20"/>
        </w:rPr>
        <w:t>2.3</w:t>
      </w:r>
      <w:r>
        <w:rPr>
          <w:rFonts w:ascii="Segoe UI" w:eastAsia="Cambria" w:hAnsi="Segoe UI" w:cs="Segoe UI"/>
          <w:sz w:val="21"/>
          <w:szCs w:val="20"/>
        </w:rPr>
        <w:tab/>
        <w:t>Meaningfully engage with stakeholders to understand their concerns and issues.</w:t>
      </w:r>
    </w:p>
    <w:p w14:paraId="58A3115B" w14:textId="4B434441"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2.</w:t>
      </w:r>
      <w:r w:rsidR="00263393">
        <w:rPr>
          <w:rFonts w:ascii="Segoe UI" w:eastAsia="Cambria" w:hAnsi="Segoe UI" w:cs="Segoe UI"/>
          <w:sz w:val="21"/>
          <w:szCs w:val="20"/>
        </w:rPr>
        <w:t>4</w:t>
      </w:r>
      <w:r w:rsidRPr="001A082D">
        <w:rPr>
          <w:rFonts w:ascii="Segoe UI" w:eastAsia="Cambria" w:hAnsi="Segoe UI" w:cs="Segoe UI"/>
          <w:sz w:val="21"/>
          <w:szCs w:val="20"/>
        </w:rPr>
        <w:tab/>
        <w:t xml:space="preserve">Collaborate with domestic and international stakeholders to address regulatory issues and understand the impact of changing policies, </w:t>
      </w:r>
      <w:proofErr w:type="gramStart"/>
      <w:r w:rsidRPr="001A082D">
        <w:rPr>
          <w:rFonts w:ascii="Segoe UI" w:eastAsia="Cambria" w:hAnsi="Segoe UI" w:cs="Segoe UI"/>
          <w:sz w:val="21"/>
          <w:szCs w:val="20"/>
        </w:rPr>
        <w:t>practices</w:t>
      </w:r>
      <w:proofErr w:type="gramEnd"/>
      <w:r w:rsidRPr="001A082D">
        <w:rPr>
          <w:rFonts w:ascii="Segoe UI" w:eastAsia="Cambria" w:hAnsi="Segoe UI" w:cs="Segoe UI"/>
          <w:sz w:val="21"/>
          <w:szCs w:val="20"/>
        </w:rPr>
        <w:t xml:space="preserve"> and services.</w:t>
      </w:r>
    </w:p>
    <w:p w14:paraId="02DDABB3" w14:textId="5105D285" w:rsidR="00CB104E" w:rsidRPr="00DB15B6" w:rsidRDefault="00EC3551" w:rsidP="00CB104E">
      <w:pPr>
        <w:pStyle w:val="Heading4"/>
        <w:rPr>
          <w:rFonts w:ascii="Segoe UI" w:hAnsi="Segoe UI" w:cs="Segoe UI"/>
          <w:i w:val="0"/>
          <w:iCs/>
          <w:sz w:val="21"/>
          <w:szCs w:val="21"/>
        </w:rPr>
      </w:pPr>
      <w:r>
        <w:rPr>
          <w:rFonts w:ascii="Segoe UI" w:hAnsi="Segoe UI" w:cs="Segoe UI"/>
          <w:i w:val="0"/>
          <w:iCs/>
          <w:sz w:val="21"/>
          <w:szCs w:val="21"/>
        </w:rPr>
        <w:lastRenderedPageBreak/>
        <w:t xml:space="preserve">Our focus in </w:t>
      </w:r>
      <w:r w:rsidR="00CB104E" w:rsidRPr="00DB15B6">
        <w:rPr>
          <w:rFonts w:ascii="Segoe UI" w:hAnsi="Segoe UI" w:cs="Segoe UI"/>
          <w:i w:val="0"/>
          <w:iCs/>
          <w:sz w:val="21"/>
          <w:szCs w:val="21"/>
        </w:rPr>
        <w:t>2022-23</w:t>
      </w:r>
    </w:p>
    <w:p w14:paraId="0D10AB20" w14:textId="4465FCFE" w:rsidR="00CB104E" w:rsidRPr="001A082D" w:rsidRDefault="00FC1ED6" w:rsidP="00CB104E">
      <w:pPr>
        <w:pStyle w:val="ListBullet2"/>
        <w:numPr>
          <w:ilvl w:val="0"/>
          <w:numId w:val="41"/>
        </w:numPr>
        <w:spacing w:before="120" w:after="180" w:line="240" w:lineRule="atLeast"/>
        <w:ind w:left="360"/>
        <w:rPr>
          <w:rFonts w:ascii="Segoe UI" w:eastAsia="Cambria" w:hAnsi="Segoe UI" w:cs="Segoe UI"/>
          <w:color w:val="auto"/>
          <w:szCs w:val="20"/>
        </w:rPr>
      </w:pPr>
      <w:r>
        <w:rPr>
          <w:rFonts w:ascii="Segoe UI" w:eastAsia="Cambria" w:hAnsi="Segoe UI" w:cs="Segoe UI"/>
          <w:color w:val="auto"/>
          <w:szCs w:val="20"/>
        </w:rPr>
        <w:t xml:space="preserve">Improving our enquiry management processes to monitor the timeliness of responses to stakeholder enquiries and </w:t>
      </w:r>
      <w:r w:rsidR="00AC7D05">
        <w:rPr>
          <w:rFonts w:ascii="Segoe UI" w:eastAsia="Cambria" w:hAnsi="Segoe UI" w:cs="Segoe UI"/>
          <w:color w:val="auto"/>
          <w:szCs w:val="20"/>
        </w:rPr>
        <w:t>improve</w:t>
      </w:r>
      <w:r>
        <w:rPr>
          <w:rFonts w:ascii="Segoe UI" w:eastAsia="Cambria" w:hAnsi="Segoe UI" w:cs="Segoe UI"/>
          <w:color w:val="auto"/>
          <w:szCs w:val="20"/>
        </w:rPr>
        <w:t xml:space="preserve"> stakeholder satisfaction. </w:t>
      </w:r>
    </w:p>
    <w:p w14:paraId="71516E46" w14:textId="77777777" w:rsidR="00263393" w:rsidRDefault="00AC7D05" w:rsidP="007A487A">
      <w:pPr>
        <w:pStyle w:val="ListBullet2"/>
        <w:numPr>
          <w:ilvl w:val="0"/>
          <w:numId w:val="41"/>
        </w:numPr>
        <w:spacing w:before="120" w:after="180" w:line="240" w:lineRule="atLeast"/>
        <w:ind w:left="360"/>
        <w:rPr>
          <w:rFonts w:ascii="Segoe UI" w:eastAsia="Cambria" w:hAnsi="Segoe UI" w:cs="Segoe UI"/>
          <w:color w:val="auto"/>
          <w:szCs w:val="20"/>
        </w:rPr>
      </w:pPr>
      <w:r>
        <w:rPr>
          <w:rFonts w:ascii="Segoe UI" w:eastAsia="Cambria" w:hAnsi="Segoe UI" w:cs="Segoe UI"/>
          <w:color w:val="auto"/>
          <w:szCs w:val="20"/>
        </w:rPr>
        <w:t>I</w:t>
      </w:r>
      <w:r w:rsidR="00CB104E" w:rsidRPr="001A082D">
        <w:rPr>
          <w:rFonts w:ascii="Segoe UI" w:eastAsia="Cambria" w:hAnsi="Segoe UI" w:cs="Segoe UI"/>
          <w:color w:val="auto"/>
          <w:szCs w:val="20"/>
        </w:rPr>
        <w:t xml:space="preserve">mprove </w:t>
      </w:r>
      <w:r w:rsidR="007A487A">
        <w:rPr>
          <w:rFonts w:ascii="Segoe UI" w:eastAsia="Cambria" w:hAnsi="Segoe UI" w:cs="Segoe UI"/>
          <w:color w:val="auto"/>
          <w:szCs w:val="20"/>
        </w:rPr>
        <w:t xml:space="preserve">the </w:t>
      </w:r>
      <w:r w:rsidR="00CB104E" w:rsidRPr="001A082D">
        <w:rPr>
          <w:rFonts w:ascii="Segoe UI" w:eastAsia="Cambria" w:hAnsi="Segoe UI" w:cs="Segoe UI"/>
          <w:color w:val="auto"/>
          <w:szCs w:val="20"/>
        </w:rPr>
        <w:t xml:space="preserve">transparency of our regulatory </w:t>
      </w:r>
      <w:r w:rsidR="007A487A">
        <w:rPr>
          <w:rFonts w:ascii="Segoe UI" w:eastAsia="Cambria" w:hAnsi="Segoe UI" w:cs="Segoe UI"/>
          <w:color w:val="auto"/>
          <w:szCs w:val="20"/>
        </w:rPr>
        <w:t>processes</w:t>
      </w:r>
      <w:r w:rsidR="00263393">
        <w:rPr>
          <w:rFonts w:ascii="Segoe UI" w:eastAsia="Cambria" w:hAnsi="Segoe UI" w:cs="Segoe UI"/>
          <w:color w:val="auto"/>
          <w:szCs w:val="20"/>
        </w:rPr>
        <w:t xml:space="preserve">. </w:t>
      </w:r>
    </w:p>
    <w:p w14:paraId="30F6D8F4" w14:textId="3DB6B0C9" w:rsidR="00CB104E" w:rsidRPr="001A082D" w:rsidRDefault="00263393" w:rsidP="007A487A">
      <w:pPr>
        <w:pStyle w:val="ListBullet2"/>
        <w:numPr>
          <w:ilvl w:val="0"/>
          <w:numId w:val="41"/>
        </w:numPr>
        <w:spacing w:before="120" w:after="180" w:line="240" w:lineRule="atLeast"/>
        <w:ind w:left="360"/>
        <w:rPr>
          <w:rFonts w:ascii="Segoe UI" w:eastAsia="Cambria" w:hAnsi="Segoe UI" w:cs="Segoe UI"/>
          <w:color w:val="auto"/>
          <w:szCs w:val="20"/>
        </w:rPr>
      </w:pPr>
      <w:r>
        <w:rPr>
          <w:rFonts w:ascii="Segoe UI" w:eastAsia="Cambria" w:hAnsi="Segoe UI" w:cs="Segoe UI"/>
          <w:color w:val="auto"/>
          <w:szCs w:val="20"/>
        </w:rPr>
        <w:t>Provide opportunities for s</w:t>
      </w:r>
      <w:r w:rsidR="00CB104E" w:rsidRPr="001A082D">
        <w:rPr>
          <w:rFonts w:ascii="Segoe UI" w:eastAsia="Cambria" w:hAnsi="Segoe UI" w:cs="Segoe UI"/>
          <w:color w:val="auto"/>
          <w:szCs w:val="20"/>
        </w:rPr>
        <w:t>takeholders</w:t>
      </w:r>
      <w:r>
        <w:rPr>
          <w:rFonts w:ascii="Segoe UI" w:eastAsia="Cambria" w:hAnsi="Segoe UI" w:cs="Segoe UI"/>
          <w:color w:val="auto"/>
          <w:szCs w:val="20"/>
        </w:rPr>
        <w:t xml:space="preserve"> to raise concerns and issues and appropriately address these issues</w:t>
      </w:r>
      <w:r w:rsidR="00CB104E" w:rsidRPr="001A082D">
        <w:rPr>
          <w:rFonts w:ascii="Segoe UI" w:eastAsia="Cambria" w:hAnsi="Segoe UI" w:cs="Segoe UI"/>
          <w:color w:val="auto"/>
          <w:szCs w:val="20"/>
        </w:rPr>
        <w:t xml:space="preserve">. </w:t>
      </w:r>
    </w:p>
    <w:p w14:paraId="08EDDA9E" w14:textId="16A2C7DD" w:rsidR="00CB104E" w:rsidRPr="001A082D" w:rsidRDefault="00CB104E" w:rsidP="00CB104E">
      <w:pPr>
        <w:pStyle w:val="ListBullet2"/>
        <w:numPr>
          <w:ilvl w:val="0"/>
          <w:numId w:val="41"/>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Continuing to develop and publish new and updated guidance material and website content </w:t>
      </w:r>
      <w:r w:rsidR="007A487A">
        <w:rPr>
          <w:rFonts w:ascii="Segoe UI" w:eastAsia="Cambria" w:hAnsi="Segoe UI" w:cs="Segoe UI"/>
          <w:color w:val="auto"/>
          <w:szCs w:val="20"/>
        </w:rPr>
        <w:t xml:space="preserve">to </w:t>
      </w:r>
      <w:r w:rsidRPr="001A082D">
        <w:rPr>
          <w:rFonts w:ascii="Segoe UI" w:eastAsia="Cambria" w:hAnsi="Segoe UI" w:cs="Segoe UI"/>
          <w:color w:val="auto"/>
          <w:szCs w:val="20"/>
        </w:rPr>
        <w:t xml:space="preserve">assist regulated entities to understand and meet their regulatory obligations. </w:t>
      </w:r>
    </w:p>
    <w:p w14:paraId="27E887F0" w14:textId="77777777" w:rsidR="00CB104E" w:rsidRPr="001A082D" w:rsidRDefault="00CB104E" w:rsidP="00CB104E">
      <w:pPr>
        <w:pStyle w:val="ListBullet2"/>
        <w:numPr>
          <w:ilvl w:val="0"/>
          <w:numId w:val="41"/>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Providing high quality advice to the Government about controlled drugs and medicinal cannabis regulation, including through supporting the Australian Advisory Council on the Medicinal Use of Cannabis. </w:t>
      </w:r>
    </w:p>
    <w:p w14:paraId="1EB3BFEE" w14:textId="77777777" w:rsidR="00CB104E" w:rsidRDefault="00CB104E" w:rsidP="00E328B3">
      <w:pPr>
        <w:pStyle w:val="Heading3"/>
        <w:spacing w:before="360"/>
        <w:ind w:right="-428"/>
      </w:pPr>
      <w:bookmarkStart w:id="17" w:name="_Toc112663426"/>
      <w:r>
        <w:t>Strategic objective</w:t>
      </w:r>
      <w:r w:rsidRPr="000F5223">
        <w:t xml:space="preserve"> </w:t>
      </w:r>
      <w:r>
        <w:t>3</w:t>
      </w:r>
      <w:r w:rsidRPr="000F5223">
        <w:t xml:space="preserve"> </w:t>
      </w:r>
      <w:r>
        <w:t>–</w:t>
      </w:r>
      <w:r w:rsidRPr="000F5223">
        <w:t xml:space="preserve"> </w:t>
      </w:r>
      <w:r>
        <w:t>Promote compliance with regulatory requirements</w:t>
      </w:r>
      <w:bookmarkEnd w:id="17"/>
    </w:p>
    <w:p w14:paraId="70D6DAB6" w14:textId="197443F2" w:rsidR="00CB104E" w:rsidRPr="00506128" w:rsidRDefault="00CB104E" w:rsidP="00CB104E">
      <w:pPr>
        <w:pStyle w:val="Heading4"/>
        <w:rPr>
          <w:rFonts w:ascii="Segoe UI" w:hAnsi="Segoe UI" w:cs="Segoe UI"/>
          <w:b w:val="0"/>
          <w:bCs w:val="0"/>
          <w:i w:val="0"/>
          <w:color w:val="000000" w:themeColor="text1"/>
          <w:sz w:val="21"/>
          <w:szCs w:val="24"/>
        </w:rPr>
      </w:pPr>
      <w:r w:rsidRPr="00506128">
        <w:rPr>
          <w:rFonts w:ascii="Segoe UI" w:hAnsi="Segoe UI" w:cs="Segoe UI"/>
          <w:b w:val="0"/>
          <w:bCs w:val="0"/>
          <w:i w:val="0"/>
          <w:color w:val="000000" w:themeColor="text1"/>
          <w:sz w:val="21"/>
          <w:szCs w:val="24"/>
        </w:rPr>
        <w:t xml:space="preserve">We will promote a risk-based approach to regulation and compliance </w:t>
      </w:r>
      <w:r w:rsidR="00AC7D05">
        <w:rPr>
          <w:rFonts w:ascii="Segoe UI" w:hAnsi="Segoe UI" w:cs="Segoe UI"/>
          <w:b w:val="0"/>
          <w:bCs w:val="0"/>
          <w:i w:val="0"/>
          <w:color w:val="000000" w:themeColor="text1"/>
          <w:sz w:val="21"/>
          <w:szCs w:val="24"/>
        </w:rPr>
        <w:t xml:space="preserve">so </w:t>
      </w:r>
      <w:r w:rsidRPr="00506128">
        <w:rPr>
          <w:rFonts w:ascii="Segoe UI" w:hAnsi="Segoe UI" w:cs="Segoe UI"/>
          <w:b w:val="0"/>
          <w:bCs w:val="0"/>
          <w:i w:val="0"/>
          <w:color w:val="000000" w:themeColor="text1"/>
          <w:sz w:val="21"/>
          <w:szCs w:val="24"/>
        </w:rPr>
        <w:t xml:space="preserve">that resources are applied to areas of greatest risk or </w:t>
      </w:r>
      <w:proofErr w:type="gramStart"/>
      <w:r w:rsidRPr="00506128">
        <w:rPr>
          <w:rFonts w:ascii="Segoe UI" w:hAnsi="Segoe UI" w:cs="Segoe UI"/>
          <w:b w:val="0"/>
          <w:bCs w:val="0"/>
          <w:i w:val="0"/>
          <w:color w:val="000000" w:themeColor="text1"/>
          <w:sz w:val="21"/>
          <w:szCs w:val="24"/>
        </w:rPr>
        <w:t>concern, and</w:t>
      </w:r>
      <w:proofErr w:type="gramEnd"/>
      <w:r w:rsidRPr="00506128">
        <w:rPr>
          <w:rFonts w:ascii="Segoe UI" w:hAnsi="Segoe UI" w:cs="Segoe UI"/>
          <w:b w:val="0"/>
          <w:bCs w:val="0"/>
          <w:i w:val="0"/>
          <w:color w:val="000000" w:themeColor="text1"/>
          <w:sz w:val="21"/>
          <w:szCs w:val="24"/>
        </w:rPr>
        <w:t xml:space="preserve"> enhancing community confidence in the control of narcotic drugs. Data collected from monitoring activities will be used to identify trends in non-compliance and inform compliance priorities and education activities. In doing this we will manage risks proportionately. </w:t>
      </w:r>
    </w:p>
    <w:p w14:paraId="7D915C5E" w14:textId="77777777" w:rsidR="00CB104E" w:rsidRPr="00DB15B6" w:rsidRDefault="00CB104E" w:rsidP="00CB104E">
      <w:pPr>
        <w:pStyle w:val="Heading4"/>
        <w:rPr>
          <w:rFonts w:ascii="Segoe UI" w:hAnsi="Segoe UI" w:cs="Segoe UI"/>
          <w:i w:val="0"/>
          <w:iCs/>
        </w:rPr>
      </w:pPr>
      <w:r w:rsidRPr="00DB15B6">
        <w:rPr>
          <w:rFonts w:ascii="Segoe UI" w:hAnsi="Segoe UI" w:cs="Segoe UI"/>
          <w:i w:val="0"/>
          <w:iCs/>
        </w:rPr>
        <w:t xml:space="preserve">Performance Indicators </w:t>
      </w:r>
    </w:p>
    <w:p w14:paraId="4C9183D9" w14:textId="77777777"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3.1</w:t>
      </w:r>
      <w:r w:rsidRPr="001A082D">
        <w:rPr>
          <w:rFonts w:ascii="Segoe UI" w:eastAsia="Cambria" w:hAnsi="Segoe UI" w:cs="Segoe UI"/>
          <w:sz w:val="21"/>
          <w:szCs w:val="20"/>
        </w:rPr>
        <w:tab/>
        <w:t>Data and intelligence are used to identify risks of non-compliance and inform compliance strategy.</w:t>
      </w:r>
    </w:p>
    <w:p w14:paraId="057C05DC" w14:textId="77777777"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3.2</w:t>
      </w:r>
      <w:r w:rsidRPr="001A082D">
        <w:rPr>
          <w:rFonts w:ascii="Segoe UI" w:eastAsia="Cambria" w:hAnsi="Segoe UI" w:cs="Segoe UI"/>
          <w:sz w:val="21"/>
          <w:szCs w:val="20"/>
        </w:rPr>
        <w:tab/>
        <w:t xml:space="preserve">Serious, </w:t>
      </w:r>
      <w:proofErr w:type="gramStart"/>
      <w:r w:rsidRPr="001A082D">
        <w:rPr>
          <w:rFonts w:ascii="Segoe UI" w:eastAsia="Cambria" w:hAnsi="Segoe UI" w:cs="Segoe UI"/>
          <w:sz w:val="21"/>
          <w:szCs w:val="20"/>
        </w:rPr>
        <w:t>deliberate</w:t>
      </w:r>
      <w:proofErr w:type="gramEnd"/>
      <w:r w:rsidRPr="001A082D">
        <w:rPr>
          <w:rFonts w:ascii="Segoe UI" w:eastAsia="Cambria" w:hAnsi="Segoe UI" w:cs="Segoe UI"/>
          <w:sz w:val="21"/>
          <w:szCs w:val="20"/>
        </w:rPr>
        <w:t xml:space="preserve"> and repeated non-compliance is addressed.</w:t>
      </w:r>
    </w:p>
    <w:p w14:paraId="01F97D3A" w14:textId="77777777" w:rsidR="00CB104E" w:rsidRPr="001A082D" w:rsidRDefault="00CB104E" w:rsidP="00CB104E">
      <w:pPr>
        <w:spacing w:before="120" w:after="180" w:line="240" w:lineRule="atLeast"/>
        <w:ind w:left="720" w:hanging="720"/>
        <w:rPr>
          <w:rFonts w:ascii="Segoe UI" w:eastAsia="Cambria" w:hAnsi="Segoe UI" w:cs="Segoe UI"/>
          <w:sz w:val="21"/>
          <w:szCs w:val="20"/>
        </w:rPr>
      </w:pPr>
      <w:r w:rsidRPr="001A082D">
        <w:rPr>
          <w:rFonts w:ascii="Segoe UI" w:eastAsia="Cambria" w:hAnsi="Segoe UI" w:cs="Segoe UI"/>
          <w:sz w:val="21"/>
          <w:szCs w:val="20"/>
        </w:rPr>
        <w:t>3.3</w:t>
      </w:r>
      <w:r w:rsidRPr="001A082D">
        <w:rPr>
          <w:rFonts w:ascii="Segoe UI" w:eastAsia="Cambria" w:hAnsi="Segoe UI" w:cs="Segoe UI"/>
          <w:sz w:val="21"/>
          <w:szCs w:val="20"/>
        </w:rPr>
        <w:tab/>
        <w:t>Compliance issues are identified and assessed proportionally with the risk being managed.</w:t>
      </w:r>
    </w:p>
    <w:p w14:paraId="5B45C54D" w14:textId="5A20B764" w:rsidR="00CB104E" w:rsidRPr="00E526B5" w:rsidRDefault="00EC3551" w:rsidP="00CB104E">
      <w:pPr>
        <w:pStyle w:val="Heading4"/>
        <w:rPr>
          <w:rFonts w:ascii="Segoe UI" w:hAnsi="Segoe UI" w:cs="Segoe UI"/>
          <w:i w:val="0"/>
          <w:iCs/>
          <w:sz w:val="21"/>
          <w:szCs w:val="21"/>
        </w:rPr>
      </w:pPr>
      <w:r>
        <w:rPr>
          <w:rFonts w:ascii="Segoe UI" w:hAnsi="Segoe UI" w:cs="Segoe UI"/>
          <w:i w:val="0"/>
          <w:iCs/>
          <w:sz w:val="21"/>
          <w:szCs w:val="21"/>
        </w:rPr>
        <w:t xml:space="preserve">Our focus in </w:t>
      </w:r>
      <w:r w:rsidR="00CB104E" w:rsidRPr="00E526B5">
        <w:rPr>
          <w:rFonts w:ascii="Segoe UI" w:hAnsi="Segoe UI" w:cs="Segoe UI"/>
          <w:i w:val="0"/>
          <w:iCs/>
          <w:sz w:val="21"/>
          <w:szCs w:val="21"/>
        </w:rPr>
        <w:t>2022-23</w:t>
      </w:r>
    </w:p>
    <w:p w14:paraId="1EAF13C3" w14:textId="77777777" w:rsidR="00CB104E" w:rsidRPr="001A082D" w:rsidRDefault="00CB104E" w:rsidP="00CB104E">
      <w:pPr>
        <w:pStyle w:val="ListBullet2"/>
        <w:numPr>
          <w:ilvl w:val="0"/>
          <w:numId w:val="40"/>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Taking a proportionate and risk-based approach to the monitoring and compliance of the import, export and manufacture of controlled drugs, cultivation of cannabis and use of precursor chemicals.</w:t>
      </w:r>
    </w:p>
    <w:p w14:paraId="3D95E2D4" w14:textId="77777777" w:rsidR="00CB104E" w:rsidRPr="001A082D" w:rsidRDefault="00CB104E" w:rsidP="00CB104E">
      <w:pPr>
        <w:pStyle w:val="ListBullet2"/>
        <w:numPr>
          <w:ilvl w:val="0"/>
          <w:numId w:val="40"/>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Continuing the ODC’s compliance and inspection program to help licence and permit holders understand their obligations, confirm </w:t>
      </w:r>
      <w:proofErr w:type="gramStart"/>
      <w:r w:rsidRPr="001A082D">
        <w:rPr>
          <w:rFonts w:ascii="Segoe UI" w:eastAsia="Cambria" w:hAnsi="Segoe UI" w:cs="Segoe UI"/>
          <w:color w:val="auto"/>
          <w:szCs w:val="20"/>
        </w:rPr>
        <w:t>compliance</w:t>
      </w:r>
      <w:proofErr w:type="gramEnd"/>
      <w:r w:rsidRPr="001A082D">
        <w:rPr>
          <w:rFonts w:ascii="Segoe UI" w:eastAsia="Cambria" w:hAnsi="Segoe UI" w:cs="Segoe UI"/>
          <w:color w:val="auto"/>
          <w:szCs w:val="20"/>
        </w:rPr>
        <w:t xml:space="preserve"> and identify widespread issues or risks.</w:t>
      </w:r>
    </w:p>
    <w:p w14:paraId="3A2BA154" w14:textId="77777777" w:rsidR="00CB104E" w:rsidRPr="001A082D" w:rsidRDefault="00CB104E" w:rsidP="00CB104E">
      <w:pPr>
        <w:pStyle w:val="ListBullet2"/>
        <w:numPr>
          <w:ilvl w:val="0"/>
          <w:numId w:val="40"/>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Undertaking compliance and education activities to promote compliance with regulatory requirements. </w:t>
      </w:r>
    </w:p>
    <w:p w14:paraId="36D8E3D7" w14:textId="77777777" w:rsidR="00CB104E" w:rsidRPr="001A082D" w:rsidRDefault="00CB104E" w:rsidP="00CB104E">
      <w:pPr>
        <w:pStyle w:val="ListBullet2"/>
        <w:numPr>
          <w:ilvl w:val="0"/>
          <w:numId w:val="40"/>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Effective collaboration with health and law enforcement agencies to form a strong evidence-base for strong regulatory decision making as appropriate. </w:t>
      </w:r>
    </w:p>
    <w:p w14:paraId="39A97E28" w14:textId="77777777" w:rsidR="00CB104E" w:rsidRPr="001A082D" w:rsidRDefault="00CB104E" w:rsidP="00CB104E">
      <w:pPr>
        <w:pStyle w:val="ListBullet2"/>
        <w:numPr>
          <w:ilvl w:val="0"/>
          <w:numId w:val="40"/>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Annual review the ODC’s risk model to ensure risks, controls and treatments are appropriately updated to support regulatory activity.  </w:t>
      </w:r>
    </w:p>
    <w:p w14:paraId="36599036" w14:textId="1D393D1B" w:rsidR="00CB104E" w:rsidRDefault="00CB104E" w:rsidP="00E328B3">
      <w:pPr>
        <w:pStyle w:val="Heading3"/>
        <w:spacing w:before="360"/>
        <w:ind w:right="-428"/>
      </w:pPr>
      <w:bookmarkStart w:id="18" w:name="_Toc112663427"/>
      <w:r>
        <w:lastRenderedPageBreak/>
        <w:t>Strategic objective</w:t>
      </w:r>
      <w:r w:rsidRPr="000F5223">
        <w:t xml:space="preserve"> </w:t>
      </w:r>
      <w:r>
        <w:t>4</w:t>
      </w:r>
      <w:r w:rsidRPr="000F5223">
        <w:t xml:space="preserve"> </w:t>
      </w:r>
      <w:r>
        <w:t>–</w:t>
      </w:r>
      <w:r w:rsidRPr="000F5223">
        <w:t xml:space="preserve"> </w:t>
      </w:r>
      <w:r w:rsidR="007B6F5B">
        <w:t>Reform ODC’s Business Processes and Systems</w:t>
      </w:r>
      <w:bookmarkEnd w:id="18"/>
      <w:r>
        <w:t xml:space="preserve"> </w:t>
      </w:r>
    </w:p>
    <w:p w14:paraId="24FE2CA1" w14:textId="36E59DF9" w:rsidR="00CB104E" w:rsidRPr="00506128" w:rsidRDefault="00CB104E" w:rsidP="00CB104E">
      <w:pPr>
        <w:pStyle w:val="Heading4"/>
        <w:rPr>
          <w:rFonts w:ascii="Segoe UI" w:hAnsi="Segoe UI" w:cs="Segoe UI"/>
          <w:b w:val="0"/>
          <w:bCs w:val="0"/>
          <w:i w:val="0"/>
          <w:color w:val="000000" w:themeColor="text1"/>
          <w:sz w:val="21"/>
          <w:szCs w:val="24"/>
        </w:rPr>
      </w:pPr>
      <w:r w:rsidRPr="00506128">
        <w:rPr>
          <w:rFonts w:ascii="Segoe UI" w:hAnsi="Segoe UI" w:cs="Segoe UI"/>
          <w:b w:val="0"/>
          <w:bCs w:val="0"/>
          <w:i w:val="0"/>
          <w:color w:val="000000" w:themeColor="text1"/>
          <w:sz w:val="21"/>
          <w:szCs w:val="24"/>
        </w:rPr>
        <w:t>We will aim to continuously improve our</w:t>
      </w:r>
      <w:r w:rsidR="00AC7D05">
        <w:rPr>
          <w:rFonts w:ascii="Segoe UI" w:hAnsi="Segoe UI" w:cs="Segoe UI"/>
          <w:b w:val="0"/>
          <w:bCs w:val="0"/>
          <w:i w:val="0"/>
          <w:color w:val="000000" w:themeColor="text1"/>
          <w:sz w:val="21"/>
          <w:szCs w:val="24"/>
        </w:rPr>
        <w:t xml:space="preserve"> processors and</w:t>
      </w:r>
      <w:r w:rsidRPr="00506128">
        <w:rPr>
          <w:rFonts w:ascii="Segoe UI" w:hAnsi="Segoe UI" w:cs="Segoe UI"/>
          <w:b w:val="0"/>
          <w:bCs w:val="0"/>
          <w:i w:val="0"/>
          <w:color w:val="000000" w:themeColor="text1"/>
          <w:sz w:val="21"/>
          <w:szCs w:val="24"/>
        </w:rPr>
        <w:t xml:space="preserve"> performance and make regulatory decisions in the context of our international obligations, applicable legislation and impacts on the regulated community. This will include building staff capability and a culture that identifies and implements improved</w:t>
      </w:r>
      <w:r w:rsidR="004C3CD1">
        <w:rPr>
          <w:rFonts w:ascii="Segoe UI" w:hAnsi="Segoe UI" w:cs="Segoe UI"/>
          <w:b w:val="0"/>
          <w:bCs w:val="0"/>
          <w:i w:val="0"/>
          <w:color w:val="000000" w:themeColor="text1"/>
          <w:sz w:val="21"/>
          <w:szCs w:val="24"/>
        </w:rPr>
        <w:t xml:space="preserve"> business</w:t>
      </w:r>
      <w:r w:rsidRPr="00506128">
        <w:rPr>
          <w:rFonts w:ascii="Segoe UI" w:hAnsi="Segoe UI" w:cs="Segoe UI"/>
          <w:b w:val="0"/>
          <w:bCs w:val="0"/>
          <w:i w:val="0"/>
          <w:color w:val="000000" w:themeColor="text1"/>
          <w:sz w:val="21"/>
          <w:szCs w:val="24"/>
        </w:rPr>
        <w:t xml:space="preserve"> practices. </w:t>
      </w:r>
    </w:p>
    <w:p w14:paraId="4602DB21" w14:textId="77777777" w:rsidR="00CB104E" w:rsidRPr="00DB15B6" w:rsidRDefault="00CB104E" w:rsidP="00CB104E">
      <w:pPr>
        <w:pStyle w:val="Heading4"/>
        <w:rPr>
          <w:rFonts w:ascii="Segoe UI" w:hAnsi="Segoe UI" w:cs="Segoe UI"/>
          <w:i w:val="0"/>
          <w:iCs/>
        </w:rPr>
      </w:pPr>
      <w:r w:rsidRPr="00DB15B6">
        <w:rPr>
          <w:rFonts w:ascii="Segoe UI" w:hAnsi="Segoe UI" w:cs="Segoe UI"/>
          <w:i w:val="0"/>
          <w:iCs/>
        </w:rPr>
        <w:t xml:space="preserve">Performance Indicators </w:t>
      </w:r>
    </w:p>
    <w:p w14:paraId="769D5521" w14:textId="18819789" w:rsidR="00CB104E" w:rsidRPr="001A082D" w:rsidRDefault="00FC1ED6" w:rsidP="00CB104E">
      <w:pPr>
        <w:spacing w:before="120" w:after="180" w:line="240" w:lineRule="atLeast"/>
        <w:ind w:left="720" w:hanging="720"/>
        <w:rPr>
          <w:rFonts w:ascii="Segoe UI" w:eastAsia="Cambria" w:hAnsi="Segoe UI" w:cs="Segoe UI"/>
          <w:sz w:val="21"/>
          <w:szCs w:val="20"/>
        </w:rPr>
      </w:pPr>
      <w:r>
        <w:rPr>
          <w:rFonts w:ascii="Segoe UI" w:eastAsia="Cambria" w:hAnsi="Segoe UI" w:cs="Segoe UI"/>
          <w:sz w:val="21"/>
          <w:szCs w:val="20"/>
        </w:rPr>
        <w:t>4</w:t>
      </w:r>
      <w:r w:rsidR="00CB104E" w:rsidRPr="001A082D">
        <w:rPr>
          <w:rFonts w:ascii="Segoe UI" w:eastAsia="Cambria" w:hAnsi="Segoe UI" w:cs="Segoe UI"/>
          <w:sz w:val="21"/>
          <w:szCs w:val="20"/>
        </w:rPr>
        <w:t>.1</w:t>
      </w:r>
      <w:r w:rsidR="00CB104E" w:rsidRPr="001A082D">
        <w:rPr>
          <w:rFonts w:ascii="Segoe UI" w:eastAsia="Cambria" w:hAnsi="Segoe UI" w:cs="Segoe UI"/>
          <w:sz w:val="21"/>
          <w:szCs w:val="20"/>
        </w:rPr>
        <w:tab/>
        <w:t xml:space="preserve">Regulatory decisions are made in accordance with </w:t>
      </w:r>
      <w:r>
        <w:rPr>
          <w:rFonts w:ascii="Segoe UI" w:eastAsia="Cambria" w:hAnsi="Segoe UI" w:cs="Segoe UI"/>
          <w:sz w:val="21"/>
          <w:szCs w:val="20"/>
        </w:rPr>
        <w:t>published</w:t>
      </w:r>
      <w:r w:rsidR="00CB104E" w:rsidRPr="001A082D">
        <w:rPr>
          <w:rFonts w:ascii="Segoe UI" w:eastAsia="Cambria" w:hAnsi="Segoe UI" w:cs="Segoe UI"/>
          <w:sz w:val="21"/>
          <w:szCs w:val="20"/>
        </w:rPr>
        <w:t xml:space="preserve"> timeframes.</w:t>
      </w:r>
    </w:p>
    <w:p w14:paraId="0CD7D285" w14:textId="79CA3B3F" w:rsidR="00CB104E" w:rsidRPr="001A082D" w:rsidRDefault="00FC1ED6" w:rsidP="00CB104E">
      <w:pPr>
        <w:spacing w:before="120" w:after="180" w:line="240" w:lineRule="atLeast"/>
        <w:ind w:left="720" w:hanging="720"/>
        <w:rPr>
          <w:rFonts w:ascii="Segoe UI" w:eastAsia="Cambria" w:hAnsi="Segoe UI" w:cs="Segoe UI"/>
          <w:sz w:val="21"/>
          <w:szCs w:val="20"/>
        </w:rPr>
      </w:pPr>
      <w:r>
        <w:rPr>
          <w:rFonts w:ascii="Segoe UI" w:eastAsia="Cambria" w:hAnsi="Segoe UI" w:cs="Segoe UI"/>
          <w:sz w:val="21"/>
          <w:szCs w:val="20"/>
        </w:rPr>
        <w:t>4</w:t>
      </w:r>
      <w:r w:rsidR="00CB104E" w:rsidRPr="001A082D">
        <w:rPr>
          <w:rFonts w:ascii="Segoe UI" w:eastAsia="Cambria" w:hAnsi="Segoe UI" w:cs="Segoe UI"/>
          <w:sz w:val="21"/>
          <w:szCs w:val="20"/>
        </w:rPr>
        <w:t>.2</w:t>
      </w:r>
      <w:r w:rsidR="00CB104E" w:rsidRPr="001A082D">
        <w:rPr>
          <w:rFonts w:ascii="Segoe UI" w:eastAsia="Cambria" w:hAnsi="Segoe UI" w:cs="Segoe UI"/>
          <w:sz w:val="21"/>
          <w:szCs w:val="20"/>
        </w:rPr>
        <w:tab/>
        <w:t>Propose regulatory reforms</w:t>
      </w:r>
      <w:r w:rsidR="00AC7D05">
        <w:rPr>
          <w:rFonts w:ascii="Segoe UI" w:eastAsia="Cambria" w:hAnsi="Segoe UI" w:cs="Segoe UI"/>
          <w:sz w:val="21"/>
          <w:szCs w:val="20"/>
        </w:rPr>
        <w:t xml:space="preserve"> to</w:t>
      </w:r>
      <w:r w:rsidR="004C3CD1">
        <w:rPr>
          <w:rFonts w:ascii="Segoe UI" w:eastAsia="Cambria" w:hAnsi="Segoe UI" w:cs="Segoe UI"/>
          <w:sz w:val="21"/>
          <w:szCs w:val="20"/>
        </w:rPr>
        <w:t xml:space="preserve"> Government</w:t>
      </w:r>
      <w:r w:rsidR="00CB104E" w:rsidRPr="001A082D">
        <w:rPr>
          <w:rFonts w:ascii="Segoe UI" w:eastAsia="Cambria" w:hAnsi="Segoe UI" w:cs="Segoe UI"/>
          <w:sz w:val="21"/>
          <w:szCs w:val="20"/>
        </w:rPr>
        <w:t xml:space="preserve"> when evidence of benefit is determined, or when risks can be appropriately managed.</w:t>
      </w:r>
    </w:p>
    <w:p w14:paraId="4EB3F1C9" w14:textId="3A1F3984" w:rsidR="00CB104E" w:rsidRPr="001A082D" w:rsidRDefault="00FC1ED6" w:rsidP="00CB104E">
      <w:pPr>
        <w:spacing w:before="120" w:after="180" w:line="240" w:lineRule="atLeast"/>
        <w:ind w:left="720" w:hanging="720"/>
        <w:rPr>
          <w:rFonts w:ascii="Segoe UI" w:eastAsia="Cambria" w:hAnsi="Segoe UI" w:cs="Segoe UI"/>
          <w:sz w:val="21"/>
          <w:szCs w:val="20"/>
        </w:rPr>
      </w:pPr>
      <w:r>
        <w:rPr>
          <w:rFonts w:ascii="Segoe UI" w:eastAsia="Cambria" w:hAnsi="Segoe UI" w:cs="Segoe UI"/>
          <w:sz w:val="21"/>
          <w:szCs w:val="20"/>
        </w:rPr>
        <w:t>4</w:t>
      </w:r>
      <w:r w:rsidR="00CB104E" w:rsidRPr="001A082D">
        <w:rPr>
          <w:rFonts w:ascii="Segoe UI" w:eastAsia="Cambria" w:hAnsi="Segoe UI" w:cs="Segoe UI"/>
          <w:sz w:val="21"/>
          <w:szCs w:val="20"/>
        </w:rPr>
        <w:t>.3</w:t>
      </w:r>
      <w:r w:rsidR="00CB104E" w:rsidRPr="001A082D">
        <w:rPr>
          <w:rFonts w:ascii="Segoe UI" w:eastAsia="Cambria" w:hAnsi="Segoe UI" w:cs="Segoe UI"/>
          <w:sz w:val="21"/>
          <w:szCs w:val="20"/>
        </w:rPr>
        <w:tab/>
        <w:t>Continuously improve</w:t>
      </w:r>
      <w:r w:rsidR="004C3CD1">
        <w:rPr>
          <w:rFonts w:ascii="Segoe UI" w:eastAsia="Cambria" w:hAnsi="Segoe UI" w:cs="Segoe UI"/>
          <w:sz w:val="21"/>
          <w:szCs w:val="20"/>
        </w:rPr>
        <w:t xml:space="preserve"> business</w:t>
      </w:r>
      <w:r w:rsidR="00CB104E" w:rsidRPr="001A082D">
        <w:rPr>
          <w:rFonts w:ascii="Segoe UI" w:eastAsia="Cambria" w:hAnsi="Segoe UI" w:cs="Segoe UI"/>
          <w:sz w:val="21"/>
          <w:szCs w:val="20"/>
        </w:rPr>
        <w:t xml:space="preserve"> services, </w:t>
      </w:r>
      <w:proofErr w:type="gramStart"/>
      <w:r w:rsidR="00CB104E" w:rsidRPr="001A082D">
        <w:rPr>
          <w:rFonts w:ascii="Segoe UI" w:eastAsia="Cambria" w:hAnsi="Segoe UI" w:cs="Segoe UI"/>
          <w:sz w:val="21"/>
          <w:szCs w:val="20"/>
        </w:rPr>
        <w:t>processes</w:t>
      </w:r>
      <w:proofErr w:type="gramEnd"/>
      <w:r w:rsidR="00CB104E" w:rsidRPr="001A082D">
        <w:rPr>
          <w:rFonts w:ascii="Segoe UI" w:eastAsia="Cambria" w:hAnsi="Segoe UI" w:cs="Segoe UI"/>
          <w:sz w:val="21"/>
          <w:szCs w:val="20"/>
        </w:rPr>
        <w:t xml:space="preserve"> and systems to ensure they are fit for purpose.</w:t>
      </w:r>
    </w:p>
    <w:p w14:paraId="684F9212" w14:textId="4345AD42" w:rsidR="00CB104E" w:rsidRPr="00DB15B6" w:rsidRDefault="00EC3551" w:rsidP="00CB104E">
      <w:pPr>
        <w:pStyle w:val="Heading4"/>
        <w:rPr>
          <w:rFonts w:ascii="Segoe UI" w:hAnsi="Segoe UI" w:cs="Segoe UI"/>
          <w:i w:val="0"/>
          <w:iCs/>
          <w:sz w:val="21"/>
          <w:szCs w:val="21"/>
        </w:rPr>
      </w:pPr>
      <w:r>
        <w:rPr>
          <w:rFonts w:ascii="Segoe UI" w:hAnsi="Segoe UI" w:cs="Segoe UI"/>
          <w:i w:val="0"/>
          <w:iCs/>
          <w:sz w:val="21"/>
          <w:szCs w:val="21"/>
        </w:rPr>
        <w:t xml:space="preserve">Our focus in </w:t>
      </w:r>
      <w:r w:rsidR="00CB104E" w:rsidRPr="00DB15B6">
        <w:rPr>
          <w:rFonts w:ascii="Segoe UI" w:hAnsi="Segoe UI" w:cs="Segoe UI"/>
          <w:i w:val="0"/>
          <w:iCs/>
          <w:sz w:val="21"/>
          <w:szCs w:val="21"/>
        </w:rPr>
        <w:t>2022-23</w:t>
      </w:r>
    </w:p>
    <w:p w14:paraId="4FA3A583" w14:textId="7F8FE06A" w:rsidR="00CB104E" w:rsidRPr="001A082D" w:rsidRDefault="00FC1ED6" w:rsidP="00CB104E">
      <w:pPr>
        <w:pStyle w:val="ListBullet2"/>
        <w:numPr>
          <w:ilvl w:val="0"/>
          <w:numId w:val="42"/>
        </w:numPr>
        <w:spacing w:before="120" w:after="180" w:line="240" w:lineRule="atLeast"/>
        <w:ind w:left="360"/>
        <w:rPr>
          <w:rFonts w:ascii="Segoe UI" w:eastAsia="Cambria" w:hAnsi="Segoe UI" w:cs="Segoe UI"/>
          <w:color w:val="auto"/>
          <w:szCs w:val="20"/>
        </w:rPr>
      </w:pPr>
      <w:r>
        <w:rPr>
          <w:rFonts w:ascii="Segoe UI" w:eastAsia="Cambria" w:hAnsi="Segoe UI" w:cs="Segoe UI"/>
          <w:color w:val="auto"/>
          <w:szCs w:val="20"/>
        </w:rPr>
        <w:t>Meeting t</w:t>
      </w:r>
      <w:r w:rsidR="00CB104E" w:rsidRPr="001A082D">
        <w:rPr>
          <w:rFonts w:ascii="Segoe UI" w:eastAsia="Cambria" w:hAnsi="Segoe UI" w:cs="Segoe UI"/>
          <w:color w:val="auto"/>
          <w:szCs w:val="20"/>
        </w:rPr>
        <w:t>imeframes published on the ODC website.</w:t>
      </w:r>
    </w:p>
    <w:p w14:paraId="54117EC9" w14:textId="77777777" w:rsidR="00CB104E" w:rsidRPr="001A082D" w:rsidRDefault="00CB104E" w:rsidP="00CB104E">
      <w:pPr>
        <w:pStyle w:val="ListBullet2"/>
        <w:numPr>
          <w:ilvl w:val="0"/>
          <w:numId w:val="42"/>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Revising the medicinal cannabis cost recovery model to ensure compliance with the Australian Government Charging Framework.</w:t>
      </w:r>
    </w:p>
    <w:p w14:paraId="3E39C9F3" w14:textId="0DFFC582" w:rsidR="00CB104E" w:rsidRPr="001A082D" w:rsidRDefault="00CB104E" w:rsidP="00CB104E">
      <w:pPr>
        <w:pStyle w:val="ListBullet2"/>
        <w:numPr>
          <w:ilvl w:val="0"/>
          <w:numId w:val="42"/>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Progressing ODC digital transformation and </w:t>
      </w:r>
      <w:r w:rsidR="00E93EDD">
        <w:rPr>
          <w:rFonts w:ascii="Segoe UI" w:eastAsia="Cambria" w:hAnsi="Segoe UI" w:cs="Segoe UI"/>
          <w:color w:val="auto"/>
          <w:szCs w:val="20"/>
        </w:rPr>
        <w:t>significant</w:t>
      </w:r>
      <w:r w:rsidRPr="001A082D">
        <w:rPr>
          <w:rFonts w:ascii="Segoe UI" w:eastAsia="Cambria" w:hAnsi="Segoe UI" w:cs="Segoe UI"/>
          <w:color w:val="auto"/>
          <w:szCs w:val="20"/>
        </w:rPr>
        <w:t xml:space="preserve"> business process and administrative improvements.</w:t>
      </w:r>
    </w:p>
    <w:p w14:paraId="4A053C74" w14:textId="77777777" w:rsidR="00CB104E" w:rsidRPr="001A082D" w:rsidRDefault="00CB104E" w:rsidP="00CB104E">
      <w:pPr>
        <w:pStyle w:val="ListBullet2"/>
        <w:numPr>
          <w:ilvl w:val="0"/>
          <w:numId w:val="42"/>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Redeveloping ODC website to provide a more user centric and modern design to ensure information is useful for industry and other stakeholders. </w:t>
      </w:r>
    </w:p>
    <w:p w14:paraId="45ED0B6D" w14:textId="77777777" w:rsidR="00CB104E" w:rsidRPr="001A082D" w:rsidRDefault="00CB104E" w:rsidP="00CB104E">
      <w:pPr>
        <w:pStyle w:val="ListBullet2"/>
        <w:numPr>
          <w:ilvl w:val="0"/>
          <w:numId w:val="42"/>
        </w:numPr>
        <w:spacing w:before="120" w:after="180" w:line="240" w:lineRule="atLeast"/>
        <w:ind w:left="360"/>
        <w:rPr>
          <w:rFonts w:ascii="Segoe UI" w:eastAsia="Cambria" w:hAnsi="Segoe UI" w:cs="Segoe UI"/>
          <w:color w:val="auto"/>
          <w:szCs w:val="20"/>
        </w:rPr>
      </w:pPr>
      <w:r w:rsidRPr="001A082D">
        <w:rPr>
          <w:rFonts w:ascii="Segoe UI" w:eastAsia="Cambria" w:hAnsi="Segoe UI" w:cs="Segoe UI"/>
          <w:color w:val="auto"/>
          <w:szCs w:val="20"/>
        </w:rPr>
        <w:t xml:space="preserve">Building capability through training and cross-skills development and promoting an </w:t>
      </w:r>
      <w:r>
        <w:rPr>
          <w:rFonts w:ascii="Segoe UI" w:eastAsia="Cambria" w:hAnsi="Segoe UI" w:cs="Segoe UI"/>
          <w:color w:val="auto"/>
          <w:szCs w:val="20"/>
        </w:rPr>
        <w:t>i</w:t>
      </w:r>
      <w:r w:rsidRPr="001A082D">
        <w:rPr>
          <w:rFonts w:ascii="Segoe UI" w:eastAsia="Cambria" w:hAnsi="Segoe UI" w:cs="Segoe UI"/>
          <w:color w:val="auto"/>
          <w:szCs w:val="20"/>
        </w:rPr>
        <w:t xml:space="preserve">mpartial, </w:t>
      </w:r>
      <w:proofErr w:type="gramStart"/>
      <w:r w:rsidRPr="001A082D">
        <w:rPr>
          <w:rFonts w:ascii="Segoe UI" w:eastAsia="Cambria" w:hAnsi="Segoe UI" w:cs="Segoe UI"/>
          <w:color w:val="auto"/>
          <w:szCs w:val="20"/>
        </w:rPr>
        <w:t>flexible</w:t>
      </w:r>
      <w:proofErr w:type="gramEnd"/>
      <w:r w:rsidRPr="001A082D">
        <w:rPr>
          <w:rFonts w:ascii="Segoe UI" w:eastAsia="Cambria" w:hAnsi="Segoe UI" w:cs="Segoe UI"/>
          <w:color w:val="auto"/>
          <w:szCs w:val="20"/>
        </w:rPr>
        <w:t xml:space="preserve"> and innovative workforce. </w:t>
      </w:r>
    </w:p>
    <w:p w14:paraId="4905FB2F" w14:textId="77777777" w:rsidR="007D1C00" w:rsidRPr="007D1C00" w:rsidRDefault="007D1C00" w:rsidP="007D1C00">
      <w:pPr>
        <w:pStyle w:val="Heading2"/>
        <w:keepLines/>
        <w:spacing w:before="480" w:after="120" w:line="240" w:lineRule="atLeast"/>
        <w:rPr>
          <w:rFonts w:ascii="Segoe UI" w:hAnsi="Segoe UI" w:cs="Segoe UI"/>
          <w:bCs w:val="0"/>
          <w:iCs w:val="0"/>
          <w:color w:val="333399"/>
          <w:sz w:val="38"/>
          <w:szCs w:val="38"/>
        </w:rPr>
      </w:pPr>
      <w:bookmarkStart w:id="19" w:name="_Toc112663428"/>
      <w:r w:rsidRPr="007D1C00">
        <w:rPr>
          <w:rFonts w:ascii="Segoe UI" w:hAnsi="Segoe UI" w:cs="Segoe UI"/>
          <w:bCs w:val="0"/>
          <w:iCs w:val="0"/>
          <w:color w:val="333399"/>
          <w:sz w:val="38"/>
          <w:szCs w:val="38"/>
        </w:rPr>
        <w:t>Reporting</w:t>
      </w:r>
      <w:bookmarkEnd w:id="19"/>
      <w:r w:rsidRPr="007D1C00">
        <w:rPr>
          <w:rFonts w:ascii="Segoe UI" w:hAnsi="Segoe UI" w:cs="Segoe UI"/>
          <w:bCs w:val="0"/>
          <w:iCs w:val="0"/>
          <w:color w:val="333399"/>
          <w:sz w:val="38"/>
          <w:szCs w:val="38"/>
        </w:rPr>
        <w:t xml:space="preserve"> </w:t>
      </w:r>
    </w:p>
    <w:p w14:paraId="4577C86F" w14:textId="2566BE92" w:rsidR="00B8764A" w:rsidRDefault="00B8764A" w:rsidP="007D1C00">
      <w:pPr>
        <w:pStyle w:val="Paragraphtext"/>
        <w:spacing w:beforeLines="60" w:before="144" w:afterLines="60" w:after="144"/>
        <w:rPr>
          <w:rFonts w:ascii="Segoe UI" w:hAnsi="Segoe UI" w:cs="Segoe UI"/>
        </w:rPr>
      </w:pPr>
      <w:r>
        <w:rPr>
          <w:rFonts w:ascii="Segoe UI" w:hAnsi="Segoe UI" w:cs="Segoe UI"/>
        </w:rPr>
        <w:t xml:space="preserve">This is the first </w:t>
      </w:r>
      <w:r w:rsidR="000D702E">
        <w:rPr>
          <w:rFonts w:ascii="Segoe UI" w:hAnsi="Segoe UI" w:cs="Segoe UI"/>
        </w:rPr>
        <w:t>full year</w:t>
      </w:r>
      <w:r>
        <w:rPr>
          <w:rFonts w:ascii="Segoe UI" w:hAnsi="Segoe UI" w:cs="Segoe UI"/>
        </w:rPr>
        <w:t xml:space="preserve"> business plan published by the ODC</w:t>
      </w:r>
      <w:r w:rsidR="000D702E">
        <w:rPr>
          <w:rFonts w:ascii="Segoe UI" w:hAnsi="Segoe UI" w:cs="Segoe UI"/>
        </w:rPr>
        <w:t>, following a six</w:t>
      </w:r>
      <w:r w:rsidR="00EC3551">
        <w:rPr>
          <w:rFonts w:ascii="Segoe UI" w:hAnsi="Segoe UI" w:cs="Segoe UI"/>
        </w:rPr>
        <w:t>-</w:t>
      </w:r>
      <w:r w:rsidR="000D702E">
        <w:rPr>
          <w:rFonts w:ascii="Segoe UI" w:hAnsi="Segoe UI" w:cs="Segoe UI"/>
        </w:rPr>
        <w:t xml:space="preserve">month </w:t>
      </w:r>
      <w:r>
        <w:rPr>
          <w:rFonts w:ascii="Segoe UI" w:hAnsi="Segoe UI" w:cs="Segoe UI"/>
        </w:rPr>
        <w:t xml:space="preserve">business plan </w:t>
      </w:r>
      <w:r w:rsidR="000D702E">
        <w:rPr>
          <w:rFonts w:ascii="Segoe UI" w:hAnsi="Segoe UI" w:cs="Segoe UI"/>
        </w:rPr>
        <w:t xml:space="preserve">published in </w:t>
      </w:r>
      <w:r>
        <w:rPr>
          <w:rFonts w:ascii="Segoe UI" w:hAnsi="Segoe UI" w:cs="Segoe UI"/>
        </w:rPr>
        <w:t xml:space="preserve">January 2022.  </w:t>
      </w:r>
    </w:p>
    <w:p w14:paraId="7EF05359" w14:textId="1A286698" w:rsidR="002170A4" w:rsidRPr="002170A4" w:rsidRDefault="002170A4" w:rsidP="002170A4">
      <w:pPr>
        <w:pStyle w:val="Paragraphtext"/>
        <w:spacing w:beforeLines="60" w:before="144" w:afterLines="60" w:after="144"/>
        <w:rPr>
          <w:rFonts w:ascii="Segoe UI" w:hAnsi="Segoe UI" w:cs="Segoe UI"/>
        </w:rPr>
      </w:pPr>
      <w:r w:rsidRPr="002170A4">
        <w:rPr>
          <w:rFonts w:ascii="Segoe UI" w:hAnsi="Segoe UI" w:cs="Segoe UI"/>
        </w:rPr>
        <w:t xml:space="preserve">The </w:t>
      </w:r>
      <w:r w:rsidR="00E93EDD">
        <w:rPr>
          <w:rFonts w:ascii="Segoe UI" w:hAnsi="Segoe UI" w:cs="Segoe UI"/>
        </w:rPr>
        <w:t>four</w:t>
      </w:r>
      <w:r w:rsidR="000D702E">
        <w:rPr>
          <w:rFonts w:ascii="Segoe UI" w:hAnsi="Segoe UI" w:cs="Segoe UI"/>
        </w:rPr>
        <w:t xml:space="preserve"> strategic objectives </w:t>
      </w:r>
      <w:r w:rsidR="000D390D">
        <w:rPr>
          <w:rFonts w:ascii="Segoe UI" w:hAnsi="Segoe UI" w:cs="Segoe UI"/>
        </w:rPr>
        <w:t xml:space="preserve">in this plan have </w:t>
      </w:r>
      <w:r w:rsidRPr="002170A4">
        <w:rPr>
          <w:rFonts w:ascii="Segoe UI" w:hAnsi="Segoe UI" w:cs="Segoe UI"/>
        </w:rPr>
        <w:t xml:space="preserve">been prepared consistent with the Government’s expectations </w:t>
      </w:r>
      <w:r w:rsidR="000D390D">
        <w:rPr>
          <w:rFonts w:ascii="Segoe UI" w:hAnsi="Segoe UI" w:cs="Segoe UI"/>
        </w:rPr>
        <w:t xml:space="preserve">on how the ODC will achieve </w:t>
      </w:r>
      <w:r w:rsidR="002943A9">
        <w:rPr>
          <w:rFonts w:ascii="Segoe UI" w:hAnsi="Segoe UI" w:cs="Segoe UI"/>
        </w:rPr>
        <w:t>its</w:t>
      </w:r>
      <w:r w:rsidR="000D390D">
        <w:rPr>
          <w:rFonts w:ascii="Segoe UI" w:hAnsi="Segoe UI" w:cs="Segoe UI"/>
        </w:rPr>
        <w:t xml:space="preserve"> regulatory outcomes, carry out its regulatory functions and exercise its powers.</w:t>
      </w:r>
    </w:p>
    <w:p w14:paraId="6A4E4929" w14:textId="71A99C76" w:rsidR="007D1C00" w:rsidRPr="00506128" w:rsidRDefault="007D1C00" w:rsidP="007D1C00">
      <w:pPr>
        <w:pStyle w:val="Paragraphtext"/>
        <w:spacing w:beforeLines="60" w:before="144" w:afterLines="60" w:after="144"/>
        <w:rPr>
          <w:rFonts w:ascii="Segoe UI" w:hAnsi="Segoe UI" w:cs="Segoe UI"/>
        </w:rPr>
      </w:pPr>
      <w:r w:rsidRPr="00594169">
        <w:rPr>
          <w:rFonts w:ascii="Segoe UI" w:hAnsi="Segoe UI" w:cs="Segoe UI"/>
        </w:rPr>
        <w:t>Reporting on our performance against the ODC Business Plan will be included in the Department’s Portfolio Budget Statements and Annual</w:t>
      </w:r>
      <w:r w:rsidRPr="00594169">
        <w:rPr>
          <w:rFonts w:ascii="Segoe UI" w:hAnsi="Segoe UI" w:cs="Segoe UI"/>
          <w:i/>
          <w:iCs/>
        </w:rPr>
        <w:t xml:space="preserve"> </w:t>
      </w:r>
      <w:r w:rsidRPr="002943A9">
        <w:rPr>
          <w:rFonts w:ascii="Segoe UI" w:hAnsi="Segoe UI" w:cs="Segoe UI"/>
        </w:rPr>
        <w:t>Report</w:t>
      </w:r>
      <w:r w:rsidR="002170A4">
        <w:rPr>
          <w:rFonts w:ascii="Segoe UI" w:hAnsi="Segoe UI" w:cs="Segoe UI"/>
        </w:rPr>
        <w:t xml:space="preserve"> </w:t>
      </w:r>
      <w:r w:rsidRPr="00594169">
        <w:rPr>
          <w:rFonts w:ascii="Segoe UI" w:hAnsi="Segoe UI" w:cs="Segoe UI"/>
        </w:rPr>
        <w:t>and will consist of both qualitative and quantitative performance data to outline how we performed as a regulator</w:t>
      </w:r>
      <w:r w:rsidR="00FC1189">
        <w:rPr>
          <w:rFonts w:ascii="Segoe UI" w:hAnsi="Segoe UI" w:cs="Segoe UI"/>
        </w:rPr>
        <w:t>.</w:t>
      </w:r>
      <w:r w:rsidRPr="00594169">
        <w:rPr>
          <w:rFonts w:ascii="Segoe UI" w:hAnsi="Segoe UI" w:cs="Segoe UI"/>
        </w:rPr>
        <w:t xml:space="preserve"> </w:t>
      </w:r>
    </w:p>
    <w:p w14:paraId="3599FBD4" w14:textId="77777777" w:rsidR="00E328B3" w:rsidRDefault="00E328B3">
      <w:r>
        <w:rPr>
          <w:b/>
        </w:rPr>
        <w:br w:type="page"/>
      </w:r>
    </w:p>
    <w:p w14:paraId="69B3923F" w14:textId="2FCF0FB2" w:rsidR="00CB104E" w:rsidRPr="000F5223" w:rsidRDefault="00CB104E" w:rsidP="00CB104E">
      <w:pPr>
        <w:pStyle w:val="NonTOCheading2"/>
        <w:pageBreakBefore/>
        <w:rPr>
          <w:rFonts w:ascii="Segoe UI" w:hAnsi="Segoe UI" w:cs="Segoe UI"/>
          <w:b w:val="0"/>
          <w:bCs/>
        </w:rPr>
      </w:pPr>
      <w:r>
        <w:rPr>
          <w:rFonts w:ascii="Segoe UI" w:hAnsi="Segoe UI" w:cs="Segoe UI"/>
          <w:b w:val="0"/>
          <w:bCs/>
        </w:rPr>
        <w:lastRenderedPageBreak/>
        <w:t>V</w:t>
      </w:r>
      <w:r w:rsidRPr="00BE6139">
        <w:rPr>
          <w:rFonts w:ascii="Segoe UI" w:hAnsi="Segoe UI" w:cs="Segoe UI"/>
          <w:b w:val="0"/>
          <w:bCs/>
        </w:rPr>
        <w:t xml:space="preserve">ersion </w:t>
      </w:r>
      <w:r w:rsidRPr="000F5223">
        <w:rPr>
          <w:rFonts w:ascii="Segoe UI" w:hAnsi="Segoe UI" w:cs="Segoe UI"/>
          <w:b w:val="0"/>
          <w:bCs/>
        </w:rPr>
        <w:t>history</w:t>
      </w:r>
    </w:p>
    <w:tbl>
      <w:tblPr>
        <w:tblStyle w:val="TableTGAblack"/>
        <w:tblW w:w="9038" w:type="dxa"/>
        <w:tblLayout w:type="fixed"/>
        <w:tblLook w:val="04A0" w:firstRow="1" w:lastRow="0" w:firstColumn="1" w:lastColumn="0" w:noHBand="0" w:noVBand="1"/>
      </w:tblPr>
      <w:tblGrid>
        <w:gridCol w:w="1276"/>
        <w:gridCol w:w="3242"/>
        <w:gridCol w:w="2712"/>
        <w:gridCol w:w="1808"/>
      </w:tblGrid>
      <w:tr w:rsidR="00CB104E" w:rsidRPr="000F5223" w14:paraId="23AB9A93" w14:textId="77777777" w:rsidTr="0050113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276" w:type="dxa"/>
          </w:tcPr>
          <w:p w14:paraId="28FE6596" w14:textId="77777777" w:rsidR="00CB104E" w:rsidRPr="000F5223" w:rsidRDefault="00CB104E" w:rsidP="00501132">
            <w:pPr>
              <w:rPr>
                <w:rFonts w:ascii="Segoe UI" w:hAnsi="Segoe UI" w:cs="Segoe UI"/>
              </w:rPr>
            </w:pPr>
            <w:r w:rsidRPr="000F5223">
              <w:rPr>
                <w:rFonts w:ascii="Segoe UI" w:hAnsi="Segoe UI" w:cs="Segoe UI"/>
              </w:rPr>
              <w:t>Version</w:t>
            </w:r>
          </w:p>
        </w:tc>
        <w:tc>
          <w:tcPr>
            <w:tcW w:w="3242" w:type="dxa"/>
          </w:tcPr>
          <w:p w14:paraId="428BF825" w14:textId="77777777" w:rsidR="00CB104E" w:rsidRPr="000F5223" w:rsidRDefault="00CB104E" w:rsidP="00501132">
            <w:pPr>
              <w:cnfStyle w:val="100000000000" w:firstRow="1" w:lastRow="0" w:firstColumn="0" w:lastColumn="0" w:oddVBand="0" w:evenVBand="0" w:oddHBand="0" w:evenHBand="0" w:firstRowFirstColumn="0" w:firstRowLastColumn="0" w:lastRowFirstColumn="0" w:lastRowLastColumn="0"/>
              <w:rPr>
                <w:rFonts w:ascii="Segoe UI" w:hAnsi="Segoe UI" w:cs="Segoe UI"/>
              </w:rPr>
            </w:pPr>
            <w:r w:rsidRPr="000F5223">
              <w:rPr>
                <w:rFonts w:ascii="Segoe UI" w:hAnsi="Segoe UI" w:cs="Segoe UI"/>
              </w:rPr>
              <w:t>Description of change</w:t>
            </w:r>
          </w:p>
        </w:tc>
        <w:tc>
          <w:tcPr>
            <w:tcW w:w="2712" w:type="dxa"/>
          </w:tcPr>
          <w:p w14:paraId="0EBB7651" w14:textId="77777777" w:rsidR="00CB104E" w:rsidRPr="000F5223" w:rsidRDefault="00CB104E" w:rsidP="00501132">
            <w:pPr>
              <w:cnfStyle w:val="100000000000" w:firstRow="1" w:lastRow="0" w:firstColumn="0" w:lastColumn="0" w:oddVBand="0" w:evenVBand="0" w:oddHBand="0" w:evenHBand="0" w:firstRowFirstColumn="0" w:firstRowLastColumn="0" w:lastRowFirstColumn="0" w:lastRowLastColumn="0"/>
              <w:rPr>
                <w:rFonts w:ascii="Segoe UI" w:hAnsi="Segoe UI" w:cs="Segoe UI"/>
              </w:rPr>
            </w:pPr>
            <w:r w:rsidRPr="000F5223">
              <w:rPr>
                <w:rFonts w:ascii="Segoe UI" w:hAnsi="Segoe UI" w:cs="Segoe UI"/>
              </w:rPr>
              <w:t>Author</w:t>
            </w:r>
          </w:p>
        </w:tc>
        <w:tc>
          <w:tcPr>
            <w:tcW w:w="1808" w:type="dxa"/>
          </w:tcPr>
          <w:p w14:paraId="48B6B0DB" w14:textId="77777777" w:rsidR="00CB104E" w:rsidRPr="000F5223" w:rsidRDefault="00CB104E" w:rsidP="00501132">
            <w:pPr>
              <w:cnfStyle w:val="100000000000" w:firstRow="1" w:lastRow="0" w:firstColumn="0" w:lastColumn="0" w:oddVBand="0" w:evenVBand="0" w:oddHBand="0" w:evenHBand="0" w:firstRowFirstColumn="0" w:firstRowLastColumn="0" w:lastRowFirstColumn="0" w:lastRowLastColumn="0"/>
              <w:rPr>
                <w:rFonts w:ascii="Segoe UI" w:hAnsi="Segoe UI" w:cs="Segoe UI"/>
              </w:rPr>
            </w:pPr>
            <w:r w:rsidRPr="000F5223">
              <w:rPr>
                <w:rFonts w:ascii="Segoe UI" w:hAnsi="Segoe UI" w:cs="Segoe UI"/>
              </w:rPr>
              <w:t>Effective date</w:t>
            </w:r>
          </w:p>
        </w:tc>
      </w:tr>
      <w:tr w:rsidR="00CB104E" w:rsidRPr="000F5223" w14:paraId="5248DA76" w14:textId="77777777" w:rsidTr="00501132">
        <w:trPr>
          <w:trHeight w:val="1418"/>
        </w:trPr>
        <w:tc>
          <w:tcPr>
            <w:cnfStyle w:val="001000000000" w:firstRow="0" w:lastRow="0" w:firstColumn="1" w:lastColumn="0" w:oddVBand="0" w:evenVBand="0" w:oddHBand="0" w:evenHBand="0" w:firstRowFirstColumn="0" w:firstRowLastColumn="0" w:lastRowFirstColumn="0" w:lastRowLastColumn="0"/>
            <w:tcW w:w="1276" w:type="dxa"/>
          </w:tcPr>
          <w:p w14:paraId="0955CB27" w14:textId="77777777" w:rsidR="00CB104E" w:rsidRPr="00506128" w:rsidRDefault="00CB104E" w:rsidP="00501132">
            <w:pPr>
              <w:rPr>
                <w:rFonts w:ascii="Segoe UI" w:hAnsi="Segoe UI" w:cs="Segoe UI"/>
                <w:color w:val="393939" w:themeColor="background2" w:themeShade="40"/>
                <w:sz w:val="21"/>
                <w:szCs w:val="20"/>
                <w:lang w:eastAsia="en-AU"/>
              </w:rPr>
            </w:pPr>
            <w:r w:rsidRPr="00506128">
              <w:rPr>
                <w:rFonts w:ascii="Segoe UI" w:hAnsi="Segoe UI" w:cs="Segoe UI"/>
                <w:color w:val="393939" w:themeColor="background2" w:themeShade="40"/>
                <w:sz w:val="21"/>
                <w:szCs w:val="20"/>
                <w:lang w:eastAsia="en-AU"/>
              </w:rPr>
              <w:t>V1.0</w:t>
            </w:r>
          </w:p>
        </w:tc>
        <w:tc>
          <w:tcPr>
            <w:tcW w:w="3242" w:type="dxa"/>
          </w:tcPr>
          <w:p w14:paraId="3B5F512A" w14:textId="77777777" w:rsidR="00CB104E" w:rsidRPr="00506128" w:rsidRDefault="00CB104E" w:rsidP="00501132">
            <w:pPr>
              <w:cnfStyle w:val="000000000000" w:firstRow="0" w:lastRow="0" w:firstColumn="0" w:lastColumn="0" w:oddVBand="0" w:evenVBand="0" w:oddHBand="0" w:evenHBand="0" w:firstRowFirstColumn="0" w:firstRowLastColumn="0" w:lastRowFirstColumn="0" w:lastRowLastColumn="0"/>
              <w:rPr>
                <w:rFonts w:ascii="Segoe UI" w:hAnsi="Segoe UI" w:cs="Segoe UI"/>
                <w:color w:val="393939" w:themeColor="background2" w:themeShade="40"/>
                <w:sz w:val="21"/>
                <w:szCs w:val="20"/>
                <w:lang w:eastAsia="en-AU"/>
              </w:rPr>
            </w:pPr>
            <w:r w:rsidRPr="00506128">
              <w:rPr>
                <w:rFonts w:ascii="Segoe UI" w:hAnsi="Segoe UI" w:cs="Segoe UI"/>
                <w:color w:val="393939" w:themeColor="background2" w:themeShade="40"/>
                <w:sz w:val="21"/>
                <w:szCs w:val="20"/>
                <w:lang w:eastAsia="en-AU"/>
              </w:rPr>
              <w:t>Original publication</w:t>
            </w:r>
          </w:p>
        </w:tc>
        <w:tc>
          <w:tcPr>
            <w:tcW w:w="2712" w:type="dxa"/>
          </w:tcPr>
          <w:p w14:paraId="52B9825C" w14:textId="77777777" w:rsidR="00CB104E" w:rsidRPr="00506128" w:rsidRDefault="00CB104E" w:rsidP="00501132">
            <w:pPr>
              <w:cnfStyle w:val="000000000000" w:firstRow="0" w:lastRow="0" w:firstColumn="0" w:lastColumn="0" w:oddVBand="0" w:evenVBand="0" w:oddHBand="0" w:evenHBand="0" w:firstRowFirstColumn="0" w:firstRowLastColumn="0" w:lastRowFirstColumn="0" w:lastRowLastColumn="0"/>
              <w:rPr>
                <w:rFonts w:ascii="Segoe UI" w:hAnsi="Segoe UI" w:cs="Segoe UI"/>
                <w:color w:val="393939" w:themeColor="background2" w:themeShade="40"/>
                <w:sz w:val="21"/>
                <w:szCs w:val="20"/>
                <w:lang w:eastAsia="en-AU"/>
              </w:rPr>
            </w:pPr>
            <w:r w:rsidRPr="00506128">
              <w:rPr>
                <w:rFonts w:ascii="Segoe UI" w:hAnsi="Segoe UI" w:cs="Segoe UI"/>
                <w:color w:val="393939" w:themeColor="background2" w:themeShade="40"/>
                <w:sz w:val="21"/>
                <w:szCs w:val="20"/>
                <w:lang w:eastAsia="en-AU"/>
              </w:rPr>
              <w:t>Office of Drug Control</w:t>
            </w:r>
          </w:p>
        </w:tc>
        <w:tc>
          <w:tcPr>
            <w:tcW w:w="1808" w:type="dxa"/>
          </w:tcPr>
          <w:p w14:paraId="31CAF5EA" w14:textId="0F579A6F" w:rsidR="00CB104E" w:rsidRPr="000F5223" w:rsidRDefault="006868C8" w:rsidP="00501132">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Pr>
                <w:rFonts w:ascii="Segoe UI" w:hAnsi="Segoe UI" w:cs="Segoe UI"/>
              </w:rPr>
              <w:t>1 July 2022</w:t>
            </w:r>
          </w:p>
        </w:tc>
      </w:tr>
    </w:tbl>
    <w:p w14:paraId="03D09ECD" w14:textId="44AC9968" w:rsidR="00E328B3" w:rsidRDefault="00E328B3" w:rsidP="00CB104E">
      <w:pPr>
        <w:pStyle w:val="TGASignoff"/>
        <w:rPr>
          <w:rFonts w:eastAsia="Times New Roman"/>
          <w:b w:val="0"/>
          <w:color w:val="auto"/>
          <w:sz w:val="22"/>
          <w:szCs w:val="24"/>
        </w:rPr>
      </w:pPr>
    </w:p>
    <w:p w14:paraId="2C85FC74" w14:textId="77777777" w:rsidR="00E328B3" w:rsidRDefault="00E328B3">
      <w:r>
        <w:rPr>
          <w:b/>
        </w:rPr>
        <w:br w:type="page"/>
      </w:r>
    </w:p>
    <w:p w14:paraId="1FB382C6" w14:textId="77777777" w:rsidR="00CB104E" w:rsidRDefault="00CB104E" w:rsidP="00CB104E">
      <w:pPr>
        <w:pStyle w:val="TGASignoff"/>
        <w:rPr>
          <w:rFonts w:ascii="Segoe UI" w:hAnsi="Segoe UI" w:cs="Segoe UI"/>
        </w:rPr>
      </w:pPr>
    </w:p>
    <w:p w14:paraId="7568C62F" w14:textId="77777777" w:rsidR="00CB104E" w:rsidRDefault="00CB104E" w:rsidP="00CB104E">
      <w:pPr>
        <w:pStyle w:val="TGASignoff"/>
        <w:rPr>
          <w:rFonts w:ascii="Segoe UI" w:hAnsi="Segoe UI" w:cs="Segoe UI"/>
        </w:rPr>
      </w:pPr>
    </w:p>
    <w:p w14:paraId="4F87DD41" w14:textId="3BC07F83" w:rsidR="00CB104E" w:rsidRDefault="00CB104E" w:rsidP="00CB104E">
      <w:pPr>
        <w:pStyle w:val="TGASignoff"/>
        <w:rPr>
          <w:rFonts w:ascii="Segoe UI" w:hAnsi="Segoe UI" w:cs="Segoe UI"/>
        </w:rPr>
      </w:pPr>
    </w:p>
    <w:p w14:paraId="62E88F11" w14:textId="0EC56E26" w:rsidR="009E2B9D" w:rsidRDefault="009E2B9D" w:rsidP="00CB104E">
      <w:pPr>
        <w:pStyle w:val="TGASignoff"/>
        <w:rPr>
          <w:rFonts w:ascii="Segoe UI" w:hAnsi="Segoe UI" w:cs="Segoe UI"/>
        </w:rPr>
      </w:pPr>
    </w:p>
    <w:p w14:paraId="471F5BA8" w14:textId="190C0A2F" w:rsidR="009E2B9D" w:rsidRDefault="009E2B9D" w:rsidP="00CB104E">
      <w:pPr>
        <w:pStyle w:val="TGASignoff"/>
        <w:rPr>
          <w:rFonts w:ascii="Segoe UI" w:hAnsi="Segoe UI" w:cs="Segoe UI"/>
        </w:rPr>
      </w:pPr>
    </w:p>
    <w:p w14:paraId="7DEF71DB" w14:textId="77777777" w:rsidR="009E2B9D" w:rsidRDefault="009E2B9D" w:rsidP="00CB104E">
      <w:pPr>
        <w:pStyle w:val="TGASignoff"/>
        <w:rPr>
          <w:rFonts w:ascii="Segoe UI" w:hAnsi="Segoe UI" w:cs="Segoe UI"/>
        </w:rPr>
      </w:pPr>
    </w:p>
    <w:p w14:paraId="2A3FDAE9" w14:textId="77777777" w:rsidR="00CB104E" w:rsidRDefault="00CB104E" w:rsidP="00CB104E">
      <w:pPr>
        <w:pStyle w:val="TGASignoff"/>
        <w:rPr>
          <w:rFonts w:ascii="Segoe UI" w:hAnsi="Segoe UI" w:cs="Segoe UI"/>
        </w:rPr>
      </w:pPr>
    </w:p>
    <w:p w14:paraId="6EBDDD61" w14:textId="77777777" w:rsidR="00CB104E" w:rsidRDefault="00CB104E" w:rsidP="00CB104E">
      <w:pPr>
        <w:pStyle w:val="TGASignoff"/>
        <w:rPr>
          <w:rFonts w:ascii="Segoe UI" w:hAnsi="Segoe UI" w:cs="Segoe UI"/>
        </w:rPr>
      </w:pPr>
    </w:p>
    <w:p w14:paraId="04E2D00C" w14:textId="77777777" w:rsidR="00CB104E" w:rsidRDefault="00CB104E" w:rsidP="00CB104E">
      <w:pPr>
        <w:pStyle w:val="TGASignoff"/>
        <w:rPr>
          <w:rFonts w:ascii="Segoe UI" w:hAnsi="Segoe UI" w:cs="Segoe UI"/>
        </w:rPr>
      </w:pPr>
    </w:p>
    <w:p w14:paraId="0C540EF1" w14:textId="77777777" w:rsidR="00CB104E" w:rsidRDefault="00CB104E" w:rsidP="00CB104E">
      <w:pPr>
        <w:pStyle w:val="TGASignoff"/>
        <w:rPr>
          <w:rFonts w:ascii="Segoe UI" w:hAnsi="Segoe UI" w:cs="Segoe UI"/>
        </w:rPr>
      </w:pPr>
    </w:p>
    <w:p w14:paraId="0FCDD7F8" w14:textId="77777777" w:rsidR="00CB104E" w:rsidRDefault="00CB104E" w:rsidP="00CB104E">
      <w:pPr>
        <w:pStyle w:val="TGASignoff"/>
        <w:rPr>
          <w:rFonts w:ascii="Segoe UI" w:hAnsi="Segoe UI" w:cs="Segoe UI"/>
        </w:rPr>
      </w:pPr>
    </w:p>
    <w:p w14:paraId="66E30335" w14:textId="65EFD505" w:rsidR="00CB104E" w:rsidRDefault="00CB104E" w:rsidP="00CB104E">
      <w:pPr>
        <w:pStyle w:val="TGASignoff"/>
        <w:rPr>
          <w:rFonts w:ascii="Segoe UI" w:hAnsi="Segoe UI" w:cs="Segoe UI"/>
        </w:rPr>
      </w:pPr>
    </w:p>
    <w:p w14:paraId="3CCC0166" w14:textId="795E8510" w:rsidR="009E2B9D" w:rsidRDefault="009E2B9D" w:rsidP="00CB104E">
      <w:pPr>
        <w:pStyle w:val="TGASignoff"/>
        <w:rPr>
          <w:rFonts w:ascii="Segoe UI" w:hAnsi="Segoe UI" w:cs="Segoe UI"/>
        </w:rPr>
      </w:pPr>
    </w:p>
    <w:p w14:paraId="3A239CF1" w14:textId="03489336" w:rsidR="009E2B9D" w:rsidRDefault="009E2B9D" w:rsidP="00CB104E">
      <w:pPr>
        <w:pStyle w:val="TGASignoff"/>
        <w:rPr>
          <w:rFonts w:ascii="Segoe UI" w:hAnsi="Segoe UI" w:cs="Segoe UI"/>
        </w:rPr>
      </w:pPr>
    </w:p>
    <w:p w14:paraId="124420F0" w14:textId="5AB05202" w:rsidR="009E2B9D" w:rsidRDefault="009E2B9D" w:rsidP="00CB104E">
      <w:pPr>
        <w:pStyle w:val="TGASignoff"/>
        <w:rPr>
          <w:rFonts w:ascii="Segoe UI" w:hAnsi="Segoe UI" w:cs="Segoe UI"/>
        </w:rPr>
      </w:pPr>
    </w:p>
    <w:p w14:paraId="3946F7C2" w14:textId="77777777" w:rsidR="009E2B9D" w:rsidRDefault="009E2B9D" w:rsidP="00CB104E">
      <w:pPr>
        <w:pStyle w:val="TGASignoff"/>
        <w:rPr>
          <w:rFonts w:ascii="Segoe UI" w:hAnsi="Segoe UI" w:cs="Segoe UI"/>
        </w:rPr>
      </w:pPr>
    </w:p>
    <w:p w14:paraId="2DFEF859" w14:textId="77777777" w:rsidR="00CB104E" w:rsidRDefault="00CB104E" w:rsidP="006868C8">
      <w:pPr>
        <w:pStyle w:val="TGASignoff"/>
        <w:spacing w:after="120"/>
        <w:rPr>
          <w:rFonts w:ascii="Segoe UI" w:hAnsi="Segoe UI" w:cs="Segoe UI"/>
        </w:rPr>
      </w:pPr>
      <w:r w:rsidRPr="00717925">
        <w:rPr>
          <w:rFonts w:ascii="Segoe UI" w:hAnsi="Segoe UI" w:cs="Segoe UI"/>
        </w:rPr>
        <w:t>Office of Drug Control</w:t>
      </w:r>
    </w:p>
    <w:p w14:paraId="298A3DFC" w14:textId="77777777" w:rsidR="00CB104E" w:rsidRPr="00717925" w:rsidRDefault="00CB104E" w:rsidP="006868C8">
      <w:pPr>
        <w:pStyle w:val="TGASignoff"/>
        <w:spacing w:after="120" w:line="240" w:lineRule="auto"/>
        <w:rPr>
          <w:rFonts w:ascii="Segoe UI" w:hAnsi="Segoe UI" w:cs="Segoe UI"/>
          <w:b w:val="0"/>
          <w:bCs/>
          <w:sz w:val="21"/>
          <w:szCs w:val="21"/>
        </w:rPr>
      </w:pPr>
      <w:r w:rsidRPr="00717925">
        <w:rPr>
          <w:rFonts w:ascii="Segoe UI" w:hAnsi="Segoe UI" w:cs="Segoe UI"/>
          <w:b w:val="0"/>
          <w:bCs/>
          <w:sz w:val="21"/>
          <w:szCs w:val="21"/>
        </w:rPr>
        <w:t xml:space="preserve">PO Box </w:t>
      </w:r>
      <w:r>
        <w:rPr>
          <w:rFonts w:ascii="Segoe UI" w:hAnsi="Segoe UI" w:cs="Segoe UI"/>
          <w:b w:val="0"/>
          <w:bCs/>
          <w:sz w:val="21"/>
          <w:szCs w:val="21"/>
        </w:rPr>
        <w:t>9848</w:t>
      </w:r>
      <w:r w:rsidRPr="00717925">
        <w:rPr>
          <w:rFonts w:ascii="Segoe UI" w:hAnsi="Segoe UI" w:cs="Segoe UI"/>
          <w:b w:val="0"/>
          <w:bCs/>
          <w:sz w:val="21"/>
          <w:szCs w:val="21"/>
        </w:rPr>
        <w:t xml:space="preserve"> Woden ACT 2606 Australia</w:t>
      </w:r>
    </w:p>
    <w:p w14:paraId="3778A33F" w14:textId="35248464" w:rsidR="00CB104E" w:rsidRPr="00717925" w:rsidRDefault="00CB104E" w:rsidP="006868C8">
      <w:pPr>
        <w:pStyle w:val="TGASignoff"/>
        <w:spacing w:after="120" w:line="240" w:lineRule="auto"/>
        <w:rPr>
          <w:rFonts w:ascii="Segoe UI" w:hAnsi="Segoe UI" w:cs="Segoe UI"/>
          <w:b w:val="0"/>
          <w:bCs/>
          <w:sz w:val="21"/>
          <w:szCs w:val="21"/>
        </w:rPr>
      </w:pPr>
      <w:r w:rsidRPr="00717925">
        <w:rPr>
          <w:rFonts w:ascii="Segoe UI" w:hAnsi="Segoe UI" w:cs="Segoe UI"/>
          <w:b w:val="0"/>
          <w:bCs/>
          <w:sz w:val="21"/>
          <w:szCs w:val="21"/>
        </w:rPr>
        <w:t xml:space="preserve">Email: </w:t>
      </w:r>
      <w:hyperlink r:id="rId13" w:history="1">
        <w:r w:rsidR="00A91908" w:rsidRPr="00902F86">
          <w:rPr>
            <w:rStyle w:val="Hyperlink"/>
            <w:rFonts w:ascii="Segoe UI" w:hAnsi="Segoe UI" w:cs="Segoe UI"/>
            <w:b w:val="0"/>
            <w:bCs/>
            <w:sz w:val="21"/>
            <w:szCs w:val="21"/>
          </w:rPr>
          <w:t>MCS@health.gov.au</w:t>
        </w:r>
      </w:hyperlink>
      <w:r w:rsidRPr="00717925">
        <w:rPr>
          <w:rFonts w:ascii="Segoe UI" w:hAnsi="Segoe UI" w:cs="Segoe UI"/>
          <w:b w:val="0"/>
          <w:bCs/>
          <w:sz w:val="21"/>
          <w:szCs w:val="21"/>
        </w:rPr>
        <w:t xml:space="preserve">  Phone: 1800 020 </w:t>
      </w:r>
      <w:proofErr w:type="gramStart"/>
      <w:r w:rsidRPr="00717925">
        <w:rPr>
          <w:rFonts w:ascii="Segoe UI" w:hAnsi="Segoe UI" w:cs="Segoe UI"/>
          <w:b w:val="0"/>
          <w:bCs/>
          <w:sz w:val="21"/>
          <w:szCs w:val="21"/>
        </w:rPr>
        <w:t>653  Fax</w:t>
      </w:r>
      <w:proofErr w:type="gramEnd"/>
      <w:r w:rsidRPr="00717925">
        <w:rPr>
          <w:rFonts w:ascii="Segoe UI" w:hAnsi="Segoe UI" w:cs="Segoe UI"/>
          <w:b w:val="0"/>
          <w:bCs/>
          <w:sz w:val="21"/>
          <w:szCs w:val="21"/>
        </w:rPr>
        <w:t>: 02 6203 1605</w:t>
      </w:r>
    </w:p>
    <w:p w14:paraId="2A1B724B" w14:textId="77777777" w:rsidR="00CB104E" w:rsidRPr="00717925" w:rsidRDefault="00396365" w:rsidP="006868C8">
      <w:pPr>
        <w:pStyle w:val="TGASignoff"/>
        <w:spacing w:after="120" w:line="240" w:lineRule="auto"/>
        <w:rPr>
          <w:rFonts w:ascii="Segoe UI" w:hAnsi="Segoe UI" w:cs="Segoe UI"/>
          <w:b w:val="0"/>
          <w:bCs/>
          <w:sz w:val="21"/>
          <w:szCs w:val="21"/>
        </w:rPr>
      </w:pPr>
      <w:hyperlink r:id="rId14" w:history="1">
        <w:r w:rsidR="00CB104E" w:rsidRPr="00717925">
          <w:rPr>
            <w:rStyle w:val="Hyperlink"/>
            <w:rFonts w:ascii="Segoe UI" w:hAnsi="Segoe UI" w:cs="Segoe UI"/>
            <w:b w:val="0"/>
            <w:bCs/>
            <w:sz w:val="21"/>
            <w:szCs w:val="21"/>
          </w:rPr>
          <w:t>https://www.odc.gov.au</w:t>
        </w:r>
      </w:hyperlink>
    </w:p>
    <w:p w14:paraId="55D3EF39" w14:textId="79FC68E1" w:rsidR="002F5084" w:rsidRPr="005B635A" w:rsidRDefault="002F5084" w:rsidP="00CB104E">
      <w:pPr>
        <w:rPr>
          <w:rFonts w:cs="Arial"/>
          <w:sz w:val="21"/>
          <w:szCs w:val="21"/>
        </w:rPr>
      </w:pPr>
    </w:p>
    <w:sectPr w:rsidR="002F5084" w:rsidRPr="005B635A" w:rsidSect="00DA7489">
      <w:footerReference w:type="default" r:id="rId15"/>
      <w:headerReference w:type="first" r:id="rId16"/>
      <w:type w:val="continuous"/>
      <w:pgSz w:w="11906" w:h="16838"/>
      <w:pgMar w:top="1701" w:right="1700" w:bottom="1134" w:left="1418" w:header="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825BB5" w14:textId="77777777" w:rsidR="006223D4" w:rsidRDefault="006223D4" w:rsidP="006B56BB">
      <w:r>
        <w:separator/>
      </w:r>
    </w:p>
    <w:p w14:paraId="0C04D246" w14:textId="77777777" w:rsidR="006223D4" w:rsidRDefault="006223D4"/>
  </w:endnote>
  <w:endnote w:type="continuationSeparator" w:id="0">
    <w:p w14:paraId="111EA17D" w14:textId="77777777" w:rsidR="006223D4" w:rsidRDefault="006223D4" w:rsidP="006B56BB">
      <w:r>
        <w:continuationSeparator/>
      </w:r>
    </w:p>
    <w:p w14:paraId="5F260390" w14:textId="77777777" w:rsidR="006223D4" w:rsidRDefault="006223D4"/>
  </w:endnote>
  <w:endnote w:type="continuationNotice" w:id="1">
    <w:p w14:paraId="16090E8F" w14:textId="77777777" w:rsidR="006223D4" w:rsidRDefault="006223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altName w:val="맑은 고딕"/>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3240730"/>
      <w:docPartObj>
        <w:docPartGallery w:val="Page Numbers (Bottom of Page)"/>
        <w:docPartUnique/>
      </w:docPartObj>
    </w:sdtPr>
    <w:sdtEndPr>
      <w:rPr>
        <w:noProof/>
      </w:rPr>
    </w:sdtEndPr>
    <w:sdtContent>
      <w:p w14:paraId="3C50E50E" w14:textId="72DC1C9E" w:rsidR="00751A23" w:rsidRPr="001B02F7" w:rsidRDefault="004817FA" w:rsidP="001B02F7">
        <w:pPr>
          <w:pStyle w:val="Footer"/>
          <w:spacing w:after="120"/>
          <w:jc w:val="right"/>
        </w:pPr>
        <w:r>
          <w:fldChar w:fldCharType="begin"/>
        </w:r>
        <w:r>
          <w:instrText xml:space="preserve"> PAGE   \* MERGEFORMAT </w:instrText>
        </w:r>
        <w:r>
          <w:fldChar w:fldCharType="separate"/>
        </w:r>
        <w:r w:rsidR="00920CE9">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832E8C" w14:textId="77777777" w:rsidR="006223D4" w:rsidRDefault="006223D4" w:rsidP="006B56BB">
      <w:r>
        <w:separator/>
      </w:r>
    </w:p>
    <w:p w14:paraId="0E9D8156" w14:textId="77777777" w:rsidR="006223D4" w:rsidRDefault="006223D4"/>
  </w:footnote>
  <w:footnote w:type="continuationSeparator" w:id="0">
    <w:p w14:paraId="4117E616" w14:textId="77777777" w:rsidR="006223D4" w:rsidRDefault="006223D4" w:rsidP="006B56BB">
      <w:r>
        <w:continuationSeparator/>
      </w:r>
    </w:p>
    <w:p w14:paraId="4CE29FC0" w14:textId="77777777" w:rsidR="006223D4" w:rsidRDefault="006223D4"/>
  </w:footnote>
  <w:footnote w:type="continuationNotice" w:id="1">
    <w:p w14:paraId="75CC2569" w14:textId="77777777" w:rsidR="006223D4" w:rsidRDefault="006223D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49D7F" w14:textId="0A2F55D8" w:rsidR="00DA7489" w:rsidRDefault="00DA7489" w:rsidP="00DA7489">
    <w:pPr>
      <w:pStyle w:val="Header"/>
      <w:tabs>
        <w:tab w:val="clear" w:pos="9026"/>
      </w:tabs>
      <w:ind w:hanging="1418"/>
    </w:pPr>
    <w:r>
      <w:rPr>
        <w:noProof/>
      </w:rPr>
      <w:drawing>
        <wp:inline distT="0" distB="0" distL="0" distR="0" wp14:anchorId="54FCE77B" wp14:editId="288A44D0">
          <wp:extent cx="7553325" cy="10683749"/>
          <wp:effectExtent l="0" t="0" r="0" b="3810"/>
          <wp:docPr id="62" name="Picture 6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5882" cy="1070151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1F031A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01ECC2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F1E210A8"/>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84A8A6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B93E0866"/>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7D303BC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27337D7"/>
    <w:multiLevelType w:val="hybridMultilevel"/>
    <w:tmpl w:val="7A7EC98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7B65E7"/>
    <w:multiLevelType w:val="hybridMultilevel"/>
    <w:tmpl w:val="19C629F0"/>
    <w:lvl w:ilvl="0" w:tplc="58E82738">
      <w:start w:val="1"/>
      <w:numFmt w:val="bullet"/>
      <w:lvlText w:val=""/>
      <w:lvlJc w:val="left"/>
      <w:pPr>
        <w:tabs>
          <w:tab w:val="num" w:pos="720"/>
        </w:tabs>
        <w:ind w:left="720" w:hanging="360"/>
      </w:pPr>
      <w:rPr>
        <w:rFonts w:ascii="Wingdings" w:hAnsi="Wingdings" w:hint="default"/>
      </w:rPr>
    </w:lvl>
    <w:lvl w:ilvl="1" w:tplc="14463F20" w:tentative="1">
      <w:start w:val="1"/>
      <w:numFmt w:val="bullet"/>
      <w:lvlText w:val=""/>
      <w:lvlJc w:val="left"/>
      <w:pPr>
        <w:tabs>
          <w:tab w:val="num" w:pos="1440"/>
        </w:tabs>
        <w:ind w:left="1440" w:hanging="360"/>
      </w:pPr>
      <w:rPr>
        <w:rFonts w:ascii="Wingdings" w:hAnsi="Wingdings" w:hint="default"/>
      </w:rPr>
    </w:lvl>
    <w:lvl w:ilvl="2" w:tplc="FE62B312" w:tentative="1">
      <w:start w:val="1"/>
      <w:numFmt w:val="bullet"/>
      <w:lvlText w:val=""/>
      <w:lvlJc w:val="left"/>
      <w:pPr>
        <w:tabs>
          <w:tab w:val="num" w:pos="2160"/>
        </w:tabs>
        <w:ind w:left="2160" w:hanging="360"/>
      </w:pPr>
      <w:rPr>
        <w:rFonts w:ascii="Wingdings" w:hAnsi="Wingdings" w:hint="default"/>
      </w:rPr>
    </w:lvl>
    <w:lvl w:ilvl="3" w:tplc="2B06DE4A" w:tentative="1">
      <w:start w:val="1"/>
      <w:numFmt w:val="bullet"/>
      <w:lvlText w:val=""/>
      <w:lvlJc w:val="left"/>
      <w:pPr>
        <w:tabs>
          <w:tab w:val="num" w:pos="2880"/>
        </w:tabs>
        <w:ind w:left="2880" w:hanging="360"/>
      </w:pPr>
      <w:rPr>
        <w:rFonts w:ascii="Wingdings" w:hAnsi="Wingdings" w:hint="default"/>
      </w:rPr>
    </w:lvl>
    <w:lvl w:ilvl="4" w:tplc="68BA4964" w:tentative="1">
      <w:start w:val="1"/>
      <w:numFmt w:val="bullet"/>
      <w:lvlText w:val=""/>
      <w:lvlJc w:val="left"/>
      <w:pPr>
        <w:tabs>
          <w:tab w:val="num" w:pos="3600"/>
        </w:tabs>
        <w:ind w:left="3600" w:hanging="360"/>
      </w:pPr>
      <w:rPr>
        <w:rFonts w:ascii="Wingdings" w:hAnsi="Wingdings" w:hint="default"/>
      </w:rPr>
    </w:lvl>
    <w:lvl w:ilvl="5" w:tplc="DB107A86" w:tentative="1">
      <w:start w:val="1"/>
      <w:numFmt w:val="bullet"/>
      <w:lvlText w:val=""/>
      <w:lvlJc w:val="left"/>
      <w:pPr>
        <w:tabs>
          <w:tab w:val="num" w:pos="4320"/>
        </w:tabs>
        <w:ind w:left="4320" w:hanging="360"/>
      </w:pPr>
      <w:rPr>
        <w:rFonts w:ascii="Wingdings" w:hAnsi="Wingdings" w:hint="default"/>
      </w:rPr>
    </w:lvl>
    <w:lvl w:ilvl="6" w:tplc="0AAA64F6" w:tentative="1">
      <w:start w:val="1"/>
      <w:numFmt w:val="bullet"/>
      <w:lvlText w:val=""/>
      <w:lvlJc w:val="left"/>
      <w:pPr>
        <w:tabs>
          <w:tab w:val="num" w:pos="5040"/>
        </w:tabs>
        <w:ind w:left="5040" w:hanging="360"/>
      </w:pPr>
      <w:rPr>
        <w:rFonts w:ascii="Wingdings" w:hAnsi="Wingdings" w:hint="default"/>
      </w:rPr>
    </w:lvl>
    <w:lvl w:ilvl="7" w:tplc="925AF39C" w:tentative="1">
      <w:start w:val="1"/>
      <w:numFmt w:val="bullet"/>
      <w:lvlText w:val=""/>
      <w:lvlJc w:val="left"/>
      <w:pPr>
        <w:tabs>
          <w:tab w:val="num" w:pos="5760"/>
        </w:tabs>
        <w:ind w:left="5760" w:hanging="360"/>
      </w:pPr>
      <w:rPr>
        <w:rFonts w:ascii="Wingdings" w:hAnsi="Wingdings" w:hint="default"/>
      </w:rPr>
    </w:lvl>
    <w:lvl w:ilvl="8" w:tplc="5BB2440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D146CE7"/>
    <w:multiLevelType w:val="hybridMultilevel"/>
    <w:tmpl w:val="38F2FD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D397B4C"/>
    <w:multiLevelType w:val="hybridMultilevel"/>
    <w:tmpl w:val="B0647514"/>
    <w:lvl w:ilvl="0" w:tplc="0C090005">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13083DE9"/>
    <w:multiLevelType w:val="hybridMultilevel"/>
    <w:tmpl w:val="A224ABA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A08606E"/>
    <w:multiLevelType w:val="hybridMultilevel"/>
    <w:tmpl w:val="739207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E3755D1"/>
    <w:multiLevelType w:val="hybridMultilevel"/>
    <w:tmpl w:val="F0C8C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0B45BF8"/>
    <w:multiLevelType w:val="hybridMultilevel"/>
    <w:tmpl w:val="62444B2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D9900DF"/>
    <w:multiLevelType w:val="hybridMultilevel"/>
    <w:tmpl w:val="2AC89754"/>
    <w:lvl w:ilvl="0" w:tplc="0C090019">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2" w15:restartNumberingAfterBreak="0">
    <w:nsid w:val="3990050A"/>
    <w:multiLevelType w:val="hybridMultilevel"/>
    <w:tmpl w:val="1C8C8B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A836640"/>
    <w:multiLevelType w:val="multilevel"/>
    <w:tmpl w:val="E9561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C793085"/>
    <w:multiLevelType w:val="hybridMultilevel"/>
    <w:tmpl w:val="0FF0CD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04F5052"/>
    <w:multiLevelType w:val="hybridMultilevel"/>
    <w:tmpl w:val="2AC89754"/>
    <w:lvl w:ilvl="0" w:tplc="0C090019">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7" w15:restartNumberingAfterBreak="0">
    <w:nsid w:val="483D0A33"/>
    <w:multiLevelType w:val="hybridMultilevel"/>
    <w:tmpl w:val="08C23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B1C257B"/>
    <w:multiLevelType w:val="hybridMultilevel"/>
    <w:tmpl w:val="56848A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F5B7384"/>
    <w:multiLevelType w:val="hybridMultilevel"/>
    <w:tmpl w:val="28F219A2"/>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69D015B9"/>
    <w:multiLevelType w:val="hybridMultilevel"/>
    <w:tmpl w:val="23B43AA2"/>
    <w:lvl w:ilvl="0" w:tplc="E03625CE">
      <w:start w:val="1"/>
      <w:numFmt w:val="bullet"/>
      <w:lvlText w:val="•"/>
      <w:lvlJc w:val="left"/>
      <w:pPr>
        <w:tabs>
          <w:tab w:val="num" w:pos="720"/>
        </w:tabs>
        <w:ind w:left="720" w:hanging="360"/>
      </w:pPr>
      <w:rPr>
        <w:rFonts w:ascii="Arial" w:hAnsi="Arial" w:hint="default"/>
      </w:rPr>
    </w:lvl>
    <w:lvl w:ilvl="1" w:tplc="95FA3F54" w:tentative="1">
      <w:start w:val="1"/>
      <w:numFmt w:val="bullet"/>
      <w:lvlText w:val="•"/>
      <w:lvlJc w:val="left"/>
      <w:pPr>
        <w:tabs>
          <w:tab w:val="num" w:pos="1440"/>
        </w:tabs>
        <w:ind w:left="1440" w:hanging="360"/>
      </w:pPr>
      <w:rPr>
        <w:rFonts w:ascii="Arial" w:hAnsi="Arial" w:hint="default"/>
      </w:rPr>
    </w:lvl>
    <w:lvl w:ilvl="2" w:tplc="DD20CA88" w:tentative="1">
      <w:start w:val="1"/>
      <w:numFmt w:val="bullet"/>
      <w:lvlText w:val="•"/>
      <w:lvlJc w:val="left"/>
      <w:pPr>
        <w:tabs>
          <w:tab w:val="num" w:pos="2160"/>
        </w:tabs>
        <w:ind w:left="2160" w:hanging="360"/>
      </w:pPr>
      <w:rPr>
        <w:rFonts w:ascii="Arial" w:hAnsi="Arial" w:hint="default"/>
      </w:rPr>
    </w:lvl>
    <w:lvl w:ilvl="3" w:tplc="71925C1C" w:tentative="1">
      <w:start w:val="1"/>
      <w:numFmt w:val="bullet"/>
      <w:lvlText w:val="•"/>
      <w:lvlJc w:val="left"/>
      <w:pPr>
        <w:tabs>
          <w:tab w:val="num" w:pos="2880"/>
        </w:tabs>
        <w:ind w:left="2880" w:hanging="360"/>
      </w:pPr>
      <w:rPr>
        <w:rFonts w:ascii="Arial" w:hAnsi="Arial" w:hint="default"/>
      </w:rPr>
    </w:lvl>
    <w:lvl w:ilvl="4" w:tplc="0E68008C" w:tentative="1">
      <w:start w:val="1"/>
      <w:numFmt w:val="bullet"/>
      <w:lvlText w:val="•"/>
      <w:lvlJc w:val="left"/>
      <w:pPr>
        <w:tabs>
          <w:tab w:val="num" w:pos="3600"/>
        </w:tabs>
        <w:ind w:left="3600" w:hanging="360"/>
      </w:pPr>
      <w:rPr>
        <w:rFonts w:ascii="Arial" w:hAnsi="Arial" w:hint="default"/>
      </w:rPr>
    </w:lvl>
    <w:lvl w:ilvl="5" w:tplc="342CF5E4" w:tentative="1">
      <w:start w:val="1"/>
      <w:numFmt w:val="bullet"/>
      <w:lvlText w:val="•"/>
      <w:lvlJc w:val="left"/>
      <w:pPr>
        <w:tabs>
          <w:tab w:val="num" w:pos="4320"/>
        </w:tabs>
        <w:ind w:left="4320" w:hanging="360"/>
      </w:pPr>
      <w:rPr>
        <w:rFonts w:ascii="Arial" w:hAnsi="Arial" w:hint="default"/>
      </w:rPr>
    </w:lvl>
    <w:lvl w:ilvl="6" w:tplc="E49A8C98" w:tentative="1">
      <w:start w:val="1"/>
      <w:numFmt w:val="bullet"/>
      <w:lvlText w:val="•"/>
      <w:lvlJc w:val="left"/>
      <w:pPr>
        <w:tabs>
          <w:tab w:val="num" w:pos="5040"/>
        </w:tabs>
        <w:ind w:left="5040" w:hanging="360"/>
      </w:pPr>
      <w:rPr>
        <w:rFonts w:ascii="Arial" w:hAnsi="Arial" w:hint="default"/>
      </w:rPr>
    </w:lvl>
    <w:lvl w:ilvl="7" w:tplc="32487922" w:tentative="1">
      <w:start w:val="1"/>
      <w:numFmt w:val="bullet"/>
      <w:lvlText w:val="•"/>
      <w:lvlJc w:val="left"/>
      <w:pPr>
        <w:tabs>
          <w:tab w:val="num" w:pos="5760"/>
        </w:tabs>
        <w:ind w:left="5760" w:hanging="360"/>
      </w:pPr>
      <w:rPr>
        <w:rFonts w:ascii="Arial" w:hAnsi="Arial" w:hint="default"/>
      </w:rPr>
    </w:lvl>
    <w:lvl w:ilvl="8" w:tplc="779ADE7E"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FFD03AD"/>
    <w:multiLevelType w:val="hybridMultilevel"/>
    <w:tmpl w:val="2AC89754"/>
    <w:lvl w:ilvl="0" w:tplc="0C090019">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3457779"/>
    <w:multiLevelType w:val="hybridMultilevel"/>
    <w:tmpl w:val="2AC89754"/>
    <w:lvl w:ilvl="0" w:tplc="0C090019">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29"/>
  </w:num>
  <w:num w:numId="3">
    <w:abstractNumId w:val="33"/>
  </w:num>
  <w:num w:numId="4">
    <w:abstractNumId w:val="9"/>
  </w:num>
  <w:num w:numId="5">
    <w:abstractNumId w:val="9"/>
    <w:lvlOverride w:ilvl="0">
      <w:startOverride w:val="1"/>
    </w:lvlOverride>
  </w:num>
  <w:num w:numId="6">
    <w:abstractNumId w:val="11"/>
  </w:num>
  <w:num w:numId="7">
    <w:abstractNumId w:val="26"/>
  </w:num>
  <w:num w:numId="8">
    <w:abstractNumId w:val="31"/>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36"/>
  </w:num>
  <w:num w:numId="17">
    <w:abstractNumId w:val="15"/>
  </w:num>
  <w:num w:numId="18">
    <w:abstractNumId w:val="18"/>
  </w:num>
  <w:num w:numId="19">
    <w:abstractNumId w:val="21"/>
  </w:num>
  <w:num w:numId="20">
    <w:abstractNumId w:val="15"/>
  </w:num>
  <w:num w:numId="21">
    <w:abstractNumId w:val="28"/>
  </w:num>
  <w:num w:numId="22">
    <w:abstractNumId w:val="15"/>
  </w:num>
  <w:num w:numId="23">
    <w:abstractNumId w:val="15"/>
  </w:num>
  <w:num w:numId="24">
    <w:abstractNumId w:val="15"/>
  </w:num>
  <w:num w:numId="25">
    <w:abstractNumId w:val="15"/>
  </w:num>
  <w:num w:numId="26">
    <w:abstractNumId w:val="27"/>
  </w:num>
  <w:num w:numId="27">
    <w:abstractNumId w:val="15"/>
  </w:num>
  <w:num w:numId="28">
    <w:abstractNumId w:val="23"/>
  </w:num>
  <w:num w:numId="29">
    <w:abstractNumId w:val="16"/>
  </w:num>
  <w:num w:numId="30">
    <w:abstractNumId w:val="17"/>
  </w:num>
  <w:num w:numId="31">
    <w:abstractNumId w:val="24"/>
  </w:num>
  <w:num w:numId="32">
    <w:abstractNumId w:val="12"/>
  </w:num>
  <w:num w:numId="33">
    <w:abstractNumId w:val="30"/>
  </w:num>
  <w:num w:numId="34">
    <w:abstractNumId w:val="15"/>
  </w:num>
  <w:num w:numId="35">
    <w:abstractNumId w:val="15"/>
  </w:num>
  <w:num w:numId="36">
    <w:abstractNumId w:val="34"/>
  </w:num>
  <w:num w:numId="37">
    <w:abstractNumId w:val="13"/>
  </w:num>
  <w:num w:numId="38">
    <w:abstractNumId w:val="19"/>
  </w:num>
  <w:num w:numId="39">
    <w:abstractNumId w:val="8"/>
  </w:num>
  <w:num w:numId="40">
    <w:abstractNumId w:val="35"/>
  </w:num>
  <w:num w:numId="41">
    <w:abstractNumId w:val="25"/>
  </w:num>
  <w:num w:numId="42">
    <w:abstractNumId w:val="20"/>
  </w:num>
  <w:num w:numId="43">
    <w:abstractNumId w:val="22"/>
  </w:num>
  <w:num w:numId="44">
    <w:abstractNumId w:val="14"/>
  </w:num>
  <w:num w:numId="45">
    <w:abstractNumId w:val="32"/>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stylePaneSortMethod w:val="0000"/>
  <w:documentProtection w:formatting="1" w:enforcement="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A9E"/>
    <w:rsid w:val="00003743"/>
    <w:rsid w:val="000047B4"/>
    <w:rsid w:val="000056EE"/>
    <w:rsid w:val="00005712"/>
    <w:rsid w:val="00006713"/>
    <w:rsid w:val="00007FD8"/>
    <w:rsid w:val="00010016"/>
    <w:rsid w:val="000117F8"/>
    <w:rsid w:val="000166FD"/>
    <w:rsid w:val="0001734F"/>
    <w:rsid w:val="00024FC0"/>
    <w:rsid w:val="00026139"/>
    <w:rsid w:val="00027071"/>
    <w:rsid w:val="00027601"/>
    <w:rsid w:val="000324B4"/>
    <w:rsid w:val="00033321"/>
    <w:rsid w:val="000338E5"/>
    <w:rsid w:val="00033ECC"/>
    <w:rsid w:val="0003422F"/>
    <w:rsid w:val="00046FF0"/>
    <w:rsid w:val="00050176"/>
    <w:rsid w:val="0005231D"/>
    <w:rsid w:val="00053338"/>
    <w:rsid w:val="00055864"/>
    <w:rsid w:val="0005695E"/>
    <w:rsid w:val="00062B65"/>
    <w:rsid w:val="00067456"/>
    <w:rsid w:val="00070498"/>
    <w:rsid w:val="00071506"/>
    <w:rsid w:val="0007154F"/>
    <w:rsid w:val="00073EB6"/>
    <w:rsid w:val="00081AB1"/>
    <w:rsid w:val="000862F9"/>
    <w:rsid w:val="00090316"/>
    <w:rsid w:val="00093981"/>
    <w:rsid w:val="00093CD9"/>
    <w:rsid w:val="000A6484"/>
    <w:rsid w:val="000A696C"/>
    <w:rsid w:val="000B067A"/>
    <w:rsid w:val="000B1540"/>
    <w:rsid w:val="000B21ED"/>
    <w:rsid w:val="000B2829"/>
    <w:rsid w:val="000B33FD"/>
    <w:rsid w:val="000B4ABA"/>
    <w:rsid w:val="000C4B16"/>
    <w:rsid w:val="000C50C3"/>
    <w:rsid w:val="000C6FD8"/>
    <w:rsid w:val="000D21F6"/>
    <w:rsid w:val="000D390D"/>
    <w:rsid w:val="000D42C3"/>
    <w:rsid w:val="000D4500"/>
    <w:rsid w:val="000D702E"/>
    <w:rsid w:val="000D7AEA"/>
    <w:rsid w:val="000E01A9"/>
    <w:rsid w:val="000E2C66"/>
    <w:rsid w:val="000E401D"/>
    <w:rsid w:val="000E6E7D"/>
    <w:rsid w:val="000F0D94"/>
    <w:rsid w:val="000F123C"/>
    <w:rsid w:val="000F2ADC"/>
    <w:rsid w:val="000F2FED"/>
    <w:rsid w:val="000F4505"/>
    <w:rsid w:val="000F66D5"/>
    <w:rsid w:val="00103060"/>
    <w:rsid w:val="0010616D"/>
    <w:rsid w:val="001065C2"/>
    <w:rsid w:val="00107A45"/>
    <w:rsid w:val="00110478"/>
    <w:rsid w:val="00113481"/>
    <w:rsid w:val="00117094"/>
    <w:rsid w:val="0011711B"/>
    <w:rsid w:val="00117F8A"/>
    <w:rsid w:val="00121B9B"/>
    <w:rsid w:val="00122ADC"/>
    <w:rsid w:val="00123E72"/>
    <w:rsid w:val="00130F59"/>
    <w:rsid w:val="00133EC0"/>
    <w:rsid w:val="00141949"/>
    <w:rsid w:val="00141CE5"/>
    <w:rsid w:val="00144908"/>
    <w:rsid w:val="001571C7"/>
    <w:rsid w:val="00161094"/>
    <w:rsid w:val="00170411"/>
    <w:rsid w:val="00172A55"/>
    <w:rsid w:val="0017504F"/>
    <w:rsid w:val="001758CD"/>
    <w:rsid w:val="0017665C"/>
    <w:rsid w:val="00177AD2"/>
    <w:rsid w:val="001815A8"/>
    <w:rsid w:val="00182926"/>
    <w:rsid w:val="001840FA"/>
    <w:rsid w:val="00190079"/>
    <w:rsid w:val="00191E31"/>
    <w:rsid w:val="0019622E"/>
    <w:rsid w:val="00196517"/>
    <w:rsid w:val="001966A7"/>
    <w:rsid w:val="00196AEC"/>
    <w:rsid w:val="001A1787"/>
    <w:rsid w:val="001A4627"/>
    <w:rsid w:val="001A4979"/>
    <w:rsid w:val="001A67E6"/>
    <w:rsid w:val="001B02F7"/>
    <w:rsid w:val="001B15D3"/>
    <w:rsid w:val="001B3443"/>
    <w:rsid w:val="001B4BEE"/>
    <w:rsid w:val="001C0326"/>
    <w:rsid w:val="001C192F"/>
    <w:rsid w:val="001C3C42"/>
    <w:rsid w:val="001D4D27"/>
    <w:rsid w:val="001D7869"/>
    <w:rsid w:val="001E0D73"/>
    <w:rsid w:val="001E41A7"/>
    <w:rsid w:val="001E6B63"/>
    <w:rsid w:val="001F2AF6"/>
    <w:rsid w:val="001F2F78"/>
    <w:rsid w:val="001F6D7C"/>
    <w:rsid w:val="002026CD"/>
    <w:rsid w:val="00202FD9"/>
    <w:rsid w:val="002033FC"/>
    <w:rsid w:val="002044BB"/>
    <w:rsid w:val="00210B09"/>
    <w:rsid w:val="00210C9E"/>
    <w:rsid w:val="00211840"/>
    <w:rsid w:val="002170A4"/>
    <w:rsid w:val="00220E5F"/>
    <w:rsid w:val="002212B5"/>
    <w:rsid w:val="00224BB2"/>
    <w:rsid w:val="00226668"/>
    <w:rsid w:val="00230356"/>
    <w:rsid w:val="00233809"/>
    <w:rsid w:val="00240046"/>
    <w:rsid w:val="0024183C"/>
    <w:rsid w:val="002470BB"/>
    <w:rsid w:val="0024797F"/>
    <w:rsid w:val="0025119E"/>
    <w:rsid w:val="00251269"/>
    <w:rsid w:val="00252575"/>
    <w:rsid w:val="002535C0"/>
    <w:rsid w:val="002550F0"/>
    <w:rsid w:val="002579FE"/>
    <w:rsid w:val="0026311C"/>
    <w:rsid w:val="00263393"/>
    <w:rsid w:val="00264C12"/>
    <w:rsid w:val="0026668C"/>
    <w:rsid w:val="00266AC1"/>
    <w:rsid w:val="0027178C"/>
    <w:rsid w:val="002719FA"/>
    <w:rsid w:val="00272668"/>
    <w:rsid w:val="0027330B"/>
    <w:rsid w:val="00276773"/>
    <w:rsid w:val="002803AD"/>
    <w:rsid w:val="00280657"/>
    <w:rsid w:val="00282052"/>
    <w:rsid w:val="0028519E"/>
    <w:rsid w:val="002856A5"/>
    <w:rsid w:val="00285F1D"/>
    <w:rsid w:val="002872ED"/>
    <w:rsid w:val="002905C2"/>
    <w:rsid w:val="002943A9"/>
    <w:rsid w:val="00294F46"/>
    <w:rsid w:val="00295AF2"/>
    <w:rsid w:val="00295C91"/>
    <w:rsid w:val="00297151"/>
    <w:rsid w:val="002A135D"/>
    <w:rsid w:val="002B0A02"/>
    <w:rsid w:val="002B20E6"/>
    <w:rsid w:val="002B42A3"/>
    <w:rsid w:val="002C0CDD"/>
    <w:rsid w:val="002C3DE9"/>
    <w:rsid w:val="002E0328"/>
    <w:rsid w:val="002E1A1D"/>
    <w:rsid w:val="002E3CFE"/>
    <w:rsid w:val="002E4081"/>
    <w:rsid w:val="002E41DC"/>
    <w:rsid w:val="002E5B78"/>
    <w:rsid w:val="002F0078"/>
    <w:rsid w:val="002F066C"/>
    <w:rsid w:val="002F3AE3"/>
    <w:rsid w:val="002F5084"/>
    <w:rsid w:val="00300813"/>
    <w:rsid w:val="0030464B"/>
    <w:rsid w:val="00304A06"/>
    <w:rsid w:val="00304B93"/>
    <w:rsid w:val="0030786C"/>
    <w:rsid w:val="003233DE"/>
    <w:rsid w:val="0032466B"/>
    <w:rsid w:val="003251E5"/>
    <w:rsid w:val="00327B44"/>
    <w:rsid w:val="003330EB"/>
    <w:rsid w:val="00335A9E"/>
    <w:rsid w:val="00336605"/>
    <w:rsid w:val="003415FD"/>
    <w:rsid w:val="003429F0"/>
    <w:rsid w:val="0035097A"/>
    <w:rsid w:val="00354009"/>
    <w:rsid w:val="003540A4"/>
    <w:rsid w:val="00360E4E"/>
    <w:rsid w:val="0036103D"/>
    <w:rsid w:val="003649E2"/>
    <w:rsid w:val="00370AAA"/>
    <w:rsid w:val="00374BB1"/>
    <w:rsid w:val="00375F77"/>
    <w:rsid w:val="00376A20"/>
    <w:rsid w:val="00377A78"/>
    <w:rsid w:val="003818A6"/>
    <w:rsid w:val="00381BBE"/>
    <w:rsid w:val="00382903"/>
    <w:rsid w:val="003845C0"/>
    <w:rsid w:val="00384683"/>
    <w:rsid w:val="003846FF"/>
    <w:rsid w:val="0038576A"/>
    <w:rsid w:val="00385AD4"/>
    <w:rsid w:val="00386B08"/>
    <w:rsid w:val="00387924"/>
    <w:rsid w:val="0039384D"/>
    <w:rsid w:val="00395C23"/>
    <w:rsid w:val="00396365"/>
    <w:rsid w:val="00397763"/>
    <w:rsid w:val="003A2E4F"/>
    <w:rsid w:val="003A32D7"/>
    <w:rsid w:val="003A4438"/>
    <w:rsid w:val="003A5013"/>
    <w:rsid w:val="003A5078"/>
    <w:rsid w:val="003A5C7C"/>
    <w:rsid w:val="003A62DD"/>
    <w:rsid w:val="003A775A"/>
    <w:rsid w:val="003B0DAB"/>
    <w:rsid w:val="003B213A"/>
    <w:rsid w:val="003B43AD"/>
    <w:rsid w:val="003B77CA"/>
    <w:rsid w:val="003B7F12"/>
    <w:rsid w:val="003C0FEC"/>
    <w:rsid w:val="003C15B8"/>
    <w:rsid w:val="003C2AC8"/>
    <w:rsid w:val="003C75F1"/>
    <w:rsid w:val="003D17F9"/>
    <w:rsid w:val="003D2D88"/>
    <w:rsid w:val="003D41EA"/>
    <w:rsid w:val="003D4850"/>
    <w:rsid w:val="003D535A"/>
    <w:rsid w:val="003E5265"/>
    <w:rsid w:val="003E5569"/>
    <w:rsid w:val="003E5BFB"/>
    <w:rsid w:val="003F0955"/>
    <w:rsid w:val="003F27D2"/>
    <w:rsid w:val="003F6FE1"/>
    <w:rsid w:val="00400F00"/>
    <w:rsid w:val="00404F8B"/>
    <w:rsid w:val="00405256"/>
    <w:rsid w:val="00410031"/>
    <w:rsid w:val="004115A2"/>
    <w:rsid w:val="0041388B"/>
    <w:rsid w:val="00415C81"/>
    <w:rsid w:val="00416731"/>
    <w:rsid w:val="00417BF0"/>
    <w:rsid w:val="00427F57"/>
    <w:rsid w:val="00432378"/>
    <w:rsid w:val="00433596"/>
    <w:rsid w:val="004355F7"/>
    <w:rsid w:val="0044048A"/>
    <w:rsid w:val="00440D65"/>
    <w:rsid w:val="004435E6"/>
    <w:rsid w:val="00447E31"/>
    <w:rsid w:val="00450C8A"/>
    <w:rsid w:val="00453923"/>
    <w:rsid w:val="00454B9B"/>
    <w:rsid w:val="00457858"/>
    <w:rsid w:val="00460B0B"/>
    <w:rsid w:val="00461023"/>
    <w:rsid w:val="00462FAC"/>
    <w:rsid w:val="00464631"/>
    <w:rsid w:val="00464B79"/>
    <w:rsid w:val="0046700E"/>
    <w:rsid w:val="00467BBF"/>
    <w:rsid w:val="00473124"/>
    <w:rsid w:val="004800EE"/>
    <w:rsid w:val="004817FA"/>
    <w:rsid w:val="00485833"/>
    <w:rsid w:val="004867E2"/>
    <w:rsid w:val="00490655"/>
    <w:rsid w:val="00490A3B"/>
    <w:rsid w:val="004929A9"/>
    <w:rsid w:val="004C2FEC"/>
    <w:rsid w:val="004C3CD1"/>
    <w:rsid w:val="004C649F"/>
    <w:rsid w:val="004C6BCF"/>
    <w:rsid w:val="004C7C4B"/>
    <w:rsid w:val="004D58BF"/>
    <w:rsid w:val="004E4279"/>
    <w:rsid w:val="004E4335"/>
    <w:rsid w:val="004E5ACF"/>
    <w:rsid w:val="004F0663"/>
    <w:rsid w:val="004F13EE"/>
    <w:rsid w:val="004F2022"/>
    <w:rsid w:val="004F5C5A"/>
    <w:rsid w:val="004F7C05"/>
    <w:rsid w:val="00501C94"/>
    <w:rsid w:val="00502EF0"/>
    <w:rsid w:val="00506432"/>
    <w:rsid w:val="0051242B"/>
    <w:rsid w:val="005149A6"/>
    <w:rsid w:val="0052051D"/>
    <w:rsid w:val="00532D5A"/>
    <w:rsid w:val="00533FC2"/>
    <w:rsid w:val="00545EE6"/>
    <w:rsid w:val="0055475F"/>
    <w:rsid w:val="005550E7"/>
    <w:rsid w:val="005564FB"/>
    <w:rsid w:val="005572C7"/>
    <w:rsid w:val="0056422B"/>
    <w:rsid w:val="005650ED"/>
    <w:rsid w:val="005669C8"/>
    <w:rsid w:val="0057089F"/>
    <w:rsid w:val="00575754"/>
    <w:rsid w:val="005845DA"/>
    <w:rsid w:val="005853A9"/>
    <w:rsid w:val="0059036C"/>
    <w:rsid w:val="00591E20"/>
    <w:rsid w:val="005928E2"/>
    <w:rsid w:val="00594169"/>
    <w:rsid w:val="00595408"/>
    <w:rsid w:val="00595E84"/>
    <w:rsid w:val="005A0C59"/>
    <w:rsid w:val="005A48EB"/>
    <w:rsid w:val="005A6CFB"/>
    <w:rsid w:val="005B13B2"/>
    <w:rsid w:val="005B635A"/>
    <w:rsid w:val="005C012B"/>
    <w:rsid w:val="005C5AEB"/>
    <w:rsid w:val="005C605A"/>
    <w:rsid w:val="005E0A3F"/>
    <w:rsid w:val="005E4DB0"/>
    <w:rsid w:val="005E6883"/>
    <w:rsid w:val="005E772F"/>
    <w:rsid w:val="005F2877"/>
    <w:rsid w:val="005F4ECA"/>
    <w:rsid w:val="005F770C"/>
    <w:rsid w:val="006041BE"/>
    <w:rsid w:val="006043C7"/>
    <w:rsid w:val="00605453"/>
    <w:rsid w:val="00606743"/>
    <w:rsid w:val="00614237"/>
    <w:rsid w:val="00614485"/>
    <w:rsid w:val="006223D4"/>
    <w:rsid w:val="00623281"/>
    <w:rsid w:val="00624B52"/>
    <w:rsid w:val="006250B5"/>
    <w:rsid w:val="00631DF4"/>
    <w:rsid w:val="00634175"/>
    <w:rsid w:val="006408AC"/>
    <w:rsid w:val="00646160"/>
    <w:rsid w:val="006511B6"/>
    <w:rsid w:val="00652742"/>
    <w:rsid w:val="00657FF8"/>
    <w:rsid w:val="006605D2"/>
    <w:rsid w:val="006701E8"/>
    <w:rsid w:val="00670D99"/>
    <w:rsid w:val="00670E2B"/>
    <w:rsid w:val="00670FFD"/>
    <w:rsid w:val="006734BB"/>
    <w:rsid w:val="00675A41"/>
    <w:rsid w:val="00681A34"/>
    <w:rsid w:val="006821EB"/>
    <w:rsid w:val="006868C8"/>
    <w:rsid w:val="00687267"/>
    <w:rsid w:val="006B2286"/>
    <w:rsid w:val="006B56BB"/>
    <w:rsid w:val="006C405F"/>
    <w:rsid w:val="006C4B30"/>
    <w:rsid w:val="006C6FF4"/>
    <w:rsid w:val="006C77A8"/>
    <w:rsid w:val="006D3B31"/>
    <w:rsid w:val="006D4098"/>
    <w:rsid w:val="006D7681"/>
    <w:rsid w:val="006D7B2E"/>
    <w:rsid w:val="006E02EA"/>
    <w:rsid w:val="006E0968"/>
    <w:rsid w:val="006E2AF6"/>
    <w:rsid w:val="006E7E6B"/>
    <w:rsid w:val="006F15E7"/>
    <w:rsid w:val="00701275"/>
    <w:rsid w:val="0070161C"/>
    <w:rsid w:val="00707F56"/>
    <w:rsid w:val="00713558"/>
    <w:rsid w:val="007167F6"/>
    <w:rsid w:val="00720D08"/>
    <w:rsid w:val="00722793"/>
    <w:rsid w:val="00723273"/>
    <w:rsid w:val="00726056"/>
    <w:rsid w:val="007263B9"/>
    <w:rsid w:val="0072716C"/>
    <w:rsid w:val="007334F8"/>
    <w:rsid w:val="007339CD"/>
    <w:rsid w:val="0073558B"/>
    <w:rsid w:val="007359D8"/>
    <w:rsid w:val="007362D4"/>
    <w:rsid w:val="007369FE"/>
    <w:rsid w:val="0074122B"/>
    <w:rsid w:val="00742FE9"/>
    <w:rsid w:val="00743144"/>
    <w:rsid w:val="00746D0D"/>
    <w:rsid w:val="00751A23"/>
    <w:rsid w:val="0076145A"/>
    <w:rsid w:val="0076547B"/>
    <w:rsid w:val="0076672A"/>
    <w:rsid w:val="00772BFD"/>
    <w:rsid w:val="00774901"/>
    <w:rsid w:val="00775E45"/>
    <w:rsid w:val="00776E74"/>
    <w:rsid w:val="00785169"/>
    <w:rsid w:val="007954AB"/>
    <w:rsid w:val="00797311"/>
    <w:rsid w:val="007A14C5"/>
    <w:rsid w:val="007A281D"/>
    <w:rsid w:val="007A3E38"/>
    <w:rsid w:val="007A487A"/>
    <w:rsid w:val="007A4A10"/>
    <w:rsid w:val="007B1760"/>
    <w:rsid w:val="007B3813"/>
    <w:rsid w:val="007B6F5B"/>
    <w:rsid w:val="007C4821"/>
    <w:rsid w:val="007C5C4A"/>
    <w:rsid w:val="007C6D9C"/>
    <w:rsid w:val="007C7DDB"/>
    <w:rsid w:val="007D1C00"/>
    <w:rsid w:val="007D2C17"/>
    <w:rsid w:val="007D2CC7"/>
    <w:rsid w:val="007D673D"/>
    <w:rsid w:val="007D7208"/>
    <w:rsid w:val="007E66FF"/>
    <w:rsid w:val="007F2220"/>
    <w:rsid w:val="007F4B3E"/>
    <w:rsid w:val="007F588A"/>
    <w:rsid w:val="00807525"/>
    <w:rsid w:val="008127AF"/>
    <w:rsid w:val="00812B46"/>
    <w:rsid w:val="008144E7"/>
    <w:rsid w:val="00815700"/>
    <w:rsid w:val="00817B70"/>
    <w:rsid w:val="00822CCB"/>
    <w:rsid w:val="008264EB"/>
    <w:rsid w:val="00826B8F"/>
    <w:rsid w:val="00831E8A"/>
    <w:rsid w:val="00835C76"/>
    <w:rsid w:val="00843049"/>
    <w:rsid w:val="0085209B"/>
    <w:rsid w:val="0085268F"/>
    <w:rsid w:val="00856B66"/>
    <w:rsid w:val="00861A5F"/>
    <w:rsid w:val="008644AD"/>
    <w:rsid w:val="00865735"/>
    <w:rsid w:val="00865DDB"/>
    <w:rsid w:val="00866B7A"/>
    <w:rsid w:val="00867538"/>
    <w:rsid w:val="008675D4"/>
    <w:rsid w:val="00867A77"/>
    <w:rsid w:val="008708BA"/>
    <w:rsid w:val="0087398D"/>
    <w:rsid w:val="00873D90"/>
    <w:rsid w:val="00873FC8"/>
    <w:rsid w:val="00884C63"/>
    <w:rsid w:val="00885908"/>
    <w:rsid w:val="008864B7"/>
    <w:rsid w:val="00890135"/>
    <w:rsid w:val="0089677E"/>
    <w:rsid w:val="00896E8C"/>
    <w:rsid w:val="008A7438"/>
    <w:rsid w:val="008B1334"/>
    <w:rsid w:val="008B31C3"/>
    <w:rsid w:val="008B6216"/>
    <w:rsid w:val="008C0278"/>
    <w:rsid w:val="008C24E9"/>
    <w:rsid w:val="008C6859"/>
    <w:rsid w:val="008D0533"/>
    <w:rsid w:val="008D42CB"/>
    <w:rsid w:val="008D48C9"/>
    <w:rsid w:val="008D5B79"/>
    <w:rsid w:val="008D6381"/>
    <w:rsid w:val="008E046A"/>
    <w:rsid w:val="008E0C77"/>
    <w:rsid w:val="008E4861"/>
    <w:rsid w:val="008E625F"/>
    <w:rsid w:val="008E6717"/>
    <w:rsid w:val="008F264D"/>
    <w:rsid w:val="00901421"/>
    <w:rsid w:val="009074E1"/>
    <w:rsid w:val="009112F7"/>
    <w:rsid w:val="009122AF"/>
    <w:rsid w:val="009127BC"/>
    <w:rsid w:val="00912D54"/>
    <w:rsid w:val="0091389F"/>
    <w:rsid w:val="009208F7"/>
    <w:rsid w:val="00920CE9"/>
    <w:rsid w:val="00922517"/>
    <w:rsid w:val="00922722"/>
    <w:rsid w:val="009261E6"/>
    <w:rsid w:val="009268E1"/>
    <w:rsid w:val="00926DF2"/>
    <w:rsid w:val="00926DFF"/>
    <w:rsid w:val="00926FB5"/>
    <w:rsid w:val="00930EAA"/>
    <w:rsid w:val="00931FBF"/>
    <w:rsid w:val="00937E39"/>
    <w:rsid w:val="00945E7F"/>
    <w:rsid w:val="0095225F"/>
    <w:rsid w:val="00952FB1"/>
    <w:rsid w:val="009557C1"/>
    <w:rsid w:val="00960D6E"/>
    <w:rsid w:val="00963A41"/>
    <w:rsid w:val="00970803"/>
    <w:rsid w:val="00970898"/>
    <w:rsid w:val="0097121B"/>
    <w:rsid w:val="00972BC1"/>
    <w:rsid w:val="00974B59"/>
    <w:rsid w:val="00980C6E"/>
    <w:rsid w:val="0098340B"/>
    <w:rsid w:val="00986830"/>
    <w:rsid w:val="009924C3"/>
    <w:rsid w:val="00993102"/>
    <w:rsid w:val="00994925"/>
    <w:rsid w:val="009A18BF"/>
    <w:rsid w:val="009A2E06"/>
    <w:rsid w:val="009A402C"/>
    <w:rsid w:val="009A5019"/>
    <w:rsid w:val="009C45E4"/>
    <w:rsid w:val="009C4A39"/>
    <w:rsid w:val="009C6F10"/>
    <w:rsid w:val="009C7A12"/>
    <w:rsid w:val="009D0A4D"/>
    <w:rsid w:val="009D111B"/>
    <w:rsid w:val="009D148F"/>
    <w:rsid w:val="009D1F05"/>
    <w:rsid w:val="009D3D70"/>
    <w:rsid w:val="009D780A"/>
    <w:rsid w:val="009E2B9D"/>
    <w:rsid w:val="009E6F7E"/>
    <w:rsid w:val="009E7A57"/>
    <w:rsid w:val="009F3FD7"/>
    <w:rsid w:val="009F4F6A"/>
    <w:rsid w:val="009F71C9"/>
    <w:rsid w:val="00A011B5"/>
    <w:rsid w:val="00A04084"/>
    <w:rsid w:val="00A0543F"/>
    <w:rsid w:val="00A109FF"/>
    <w:rsid w:val="00A14D40"/>
    <w:rsid w:val="00A16E36"/>
    <w:rsid w:val="00A24961"/>
    <w:rsid w:val="00A24B10"/>
    <w:rsid w:val="00A30E9B"/>
    <w:rsid w:val="00A43B53"/>
    <w:rsid w:val="00A4411C"/>
    <w:rsid w:val="00A44D08"/>
    <w:rsid w:val="00A4512D"/>
    <w:rsid w:val="00A50244"/>
    <w:rsid w:val="00A56F17"/>
    <w:rsid w:val="00A627D7"/>
    <w:rsid w:val="00A64268"/>
    <w:rsid w:val="00A655D2"/>
    <w:rsid w:val="00A656C7"/>
    <w:rsid w:val="00A705AF"/>
    <w:rsid w:val="00A72454"/>
    <w:rsid w:val="00A77696"/>
    <w:rsid w:val="00A80557"/>
    <w:rsid w:val="00A81D33"/>
    <w:rsid w:val="00A83DD5"/>
    <w:rsid w:val="00A91908"/>
    <w:rsid w:val="00A930AE"/>
    <w:rsid w:val="00A97C1B"/>
    <w:rsid w:val="00AA1080"/>
    <w:rsid w:val="00AA1A95"/>
    <w:rsid w:val="00AA260F"/>
    <w:rsid w:val="00AB1EE7"/>
    <w:rsid w:val="00AB2DEF"/>
    <w:rsid w:val="00AB36D0"/>
    <w:rsid w:val="00AB441B"/>
    <w:rsid w:val="00AB4B37"/>
    <w:rsid w:val="00AB54ED"/>
    <w:rsid w:val="00AB5762"/>
    <w:rsid w:val="00AC2679"/>
    <w:rsid w:val="00AC4BE4"/>
    <w:rsid w:val="00AC51BE"/>
    <w:rsid w:val="00AC6BF9"/>
    <w:rsid w:val="00AC7D05"/>
    <w:rsid w:val="00AD05E6"/>
    <w:rsid w:val="00AD0D3F"/>
    <w:rsid w:val="00AE1D7D"/>
    <w:rsid w:val="00AE2A8B"/>
    <w:rsid w:val="00AE3F64"/>
    <w:rsid w:val="00AE474A"/>
    <w:rsid w:val="00AF1E8A"/>
    <w:rsid w:val="00AF5744"/>
    <w:rsid w:val="00AF7386"/>
    <w:rsid w:val="00AF7934"/>
    <w:rsid w:val="00B00B81"/>
    <w:rsid w:val="00B04580"/>
    <w:rsid w:val="00B04B09"/>
    <w:rsid w:val="00B10471"/>
    <w:rsid w:val="00B15515"/>
    <w:rsid w:val="00B16A51"/>
    <w:rsid w:val="00B25440"/>
    <w:rsid w:val="00B31B56"/>
    <w:rsid w:val="00B32222"/>
    <w:rsid w:val="00B35DA1"/>
    <w:rsid w:val="00B3618D"/>
    <w:rsid w:val="00B36233"/>
    <w:rsid w:val="00B42851"/>
    <w:rsid w:val="00B45AC7"/>
    <w:rsid w:val="00B5372F"/>
    <w:rsid w:val="00B602B6"/>
    <w:rsid w:val="00B61129"/>
    <w:rsid w:val="00B67E7F"/>
    <w:rsid w:val="00B75A04"/>
    <w:rsid w:val="00B75AB6"/>
    <w:rsid w:val="00B838C9"/>
    <w:rsid w:val="00B839B2"/>
    <w:rsid w:val="00B8764A"/>
    <w:rsid w:val="00B94252"/>
    <w:rsid w:val="00B9715A"/>
    <w:rsid w:val="00B97A26"/>
    <w:rsid w:val="00BA14BE"/>
    <w:rsid w:val="00BA2732"/>
    <w:rsid w:val="00BA279D"/>
    <w:rsid w:val="00BA293D"/>
    <w:rsid w:val="00BA2F28"/>
    <w:rsid w:val="00BA49BC"/>
    <w:rsid w:val="00BA56B7"/>
    <w:rsid w:val="00BA7A1E"/>
    <w:rsid w:val="00BA7CA9"/>
    <w:rsid w:val="00BB2F6C"/>
    <w:rsid w:val="00BB3875"/>
    <w:rsid w:val="00BB5860"/>
    <w:rsid w:val="00BB6AAD"/>
    <w:rsid w:val="00BC4A19"/>
    <w:rsid w:val="00BC4E6D"/>
    <w:rsid w:val="00BD0617"/>
    <w:rsid w:val="00BD2E9B"/>
    <w:rsid w:val="00BF39B2"/>
    <w:rsid w:val="00C00930"/>
    <w:rsid w:val="00C058DB"/>
    <w:rsid w:val="00C060AD"/>
    <w:rsid w:val="00C0670D"/>
    <w:rsid w:val="00C113BF"/>
    <w:rsid w:val="00C11904"/>
    <w:rsid w:val="00C17CDE"/>
    <w:rsid w:val="00C2176E"/>
    <w:rsid w:val="00C23430"/>
    <w:rsid w:val="00C258AB"/>
    <w:rsid w:val="00C26EF1"/>
    <w:rsid w:val="00C27D67"/>
    <w:rsid w:val="00C3202C"/>
    <w:rsid w:val="00C33E91"/>
    <w:rsid w:val="00C348D1"/>
    <w:rsid w:val="00C36C0D"/>
    <w:rsid w:val="00C42FC6"/>
    <w:rsid w:val="00C44E81"/>
    <w:rsid w:val="00C4631F"/>
    <w:rsid w:val="00C50E16"/>
    <w:rsid w:val="00C5417C"/>
    <w:rsid w:val="00C55258"/>
    <w:rsid w:val="00C565C0"/>
    <w:rsid w:val="00C6295B"/>
    <w:rsid w:val="00C765BA"/>
    <w:rsid w:val="00C8233F"/>
    <w:rsid w:val="00C8258F"/>
    <w:rsid w:val="00C82EEB"/>
    <w:rsid w:val="00C83BAC"/>
    <w:rsid w:val="00C87CB8"/>
    <w:rsid w:val="00C91417"/>
    <w:rsid w:val="00C92F1A"/>
    <w:rsid w:val="00C971DC"/>
    <w:rsid w:val="00CA16B7"/>
    <w:rsid w:val="00CA4BE3"/>
    <w:rsid w:val="00CA62AE"/>
    <w:rsid w:val="00CB104E"/>
    <w:rsid w:val="00CB5B1A"/>
    <w:rsid w:val="00CB6E23"/>
    <w:rsid w:val="00CC220B"/>
    <w:rsid w:val="00CC5C43"/>
    <w:rsid w:val="00CD02AE"/>
    <w:rsid w:val="00CD0BE3"/>
    <w:rsid w:val="00CD2A27"/>
    <w:rsid w:val="00CD2A4F"/>
    <w:rsid w:val="00CD6581"/>
    <w:rsid w:val="00CD78CE"/>
    <w:rsid w:val="00CE03CA"/>
    <w:rsid w:val="00CE1BA2"/>
    <w:rsid w:val="00CE22F1"/>
    <w:rsid w:val="00CE50F2"/>
    <w:rsid w:val="00CE6502"/>
    <w:rsid w:val="00CF27FD"/>
    <w:rsid w:val="00CF3D70"/>
    <w:rsid w:val="00CF64C2"/>
    <w:rsid w:val="00CF71AA"/>
    <w:rsid w:val="00CF7D3C"/>
    <w:rsid w:val="00D00A1F"/>
    <w:rsid w:val="00D05C1F"/>
    <w:rsid w:val="00D147EB"/>
    <w:rsid w:val="00D2732B"/>
    <w:rsid w:val="00D338A1"/>
    <w:rsid w:val="00D34667"/>
    <w:rsid w:val="00D35880"/>
    <w:rsid w:val="00D401E1"/>
    <w:rsid w:val="00D408B4"/>
    <w:rsid w:val="00D45D94"/>
    <w:rsid w:val="00D50906"/>
    <w:rsid w:val="00D524C8"/>
    <w:rsid w:val="00D52EEA"/>
    <w:rsid w:val="00D543BE"/>
    <w:rsid w:val="00D5683B"/>
    <w:rsid w:val="00D57779"/>
    <w:rsid w:val="00D60E25"/>
    <w:rsid w:val="00D621CF"/>
    <w:rsid w:val="00D70E24"/>
    <w:rsid w:val="00D72B61"/>
    <w:rsid w:val="00D83088"/>
    <w:rsid w:val="00D9226C"/>
    <w:rsid w:val="00D93BF6"/>
    <w:rsid w:val="00D96745"/>
    <w:rsid w:val="00DA2ECB"/>
    <w:rsid w:val="00DA3D1D"/>
    <w:rsid w:val="00DA7489"/>
    <w:rsid w:val="00DB0138"/>
    <w:rsid w:val="00DB07AB"/>
    <w:rsid w:val="00DB1BA9"/>
    <w:rsid w:val="00DB1E53"/>
    <w:rsid w:val="00DB53FF"/>
    <w:rsid w:val="00DB6286"/>
    <w:rsid w:val="00DB645F"/>
    <w:rsid w:val="00DB76E9"/>
    <w:rsid w:val="00DC0727"/>
    <w:rsid w:val="00DC0A67"/>
    <w:rsid w:val="00DC1D5E"/>
    <w:rsid w:val="00DC2313"/>
    <w:rsid w:val="00DC5220"/>
    <w:rsid w:val="00DC7910"/>
    <w:rsid w:val="00DD2061"/>
    <w:rsid w:val="00DD7DAB"/>
    <w:rsid w:val="00DE3355"/>
    <w:rsid w:val="00DE3BA7"/>
    <w:rsid w:val="00DE438E"/>
    <w:rsid w:val="00DF486F"/>
    <w:rsid w:val="00DF5B5B"/>
    <w:rsid w:val="00DF7619"/>
    <w:rsid w:val="00E02632"/>
    <w:rsid w:val="00E03482"/>
    <w:rsid w:val="00E042D8"/>
    <w:rsid w:val="00E05F03"/>
    <w:rsid w:val="00E07853"/>
    <w:rsid w:val="00E07EE7"/>
    <w:rsid w:val="00E1103B"/>
    <w:rsid w:val="00E163EB"/>
    <w:rsid w:val="00E17B44"/>
    <w:rsid w:val="00E27FEA"/>
    <w:rsid w:val="00E31D4E"/>
    <w:rsid w:val="00E328B3"/>
    <w:rsid w:val="00E35FD8"/>
    <w:rsid w:val="00E4086F"/>
    <w:rsid w:val="00E43B3C"/>
    <w:rsid w:val="00E50188"/>
    <w:rsid w:val="00E515CB"/>
    <w:rsid w:val="00E52260"/>
    <w:rsid w:val="00E526B5"/>
    <w:rsid w:val="00E53188"/>
    <w:rsid w:val="00E557F1"/>
    <w:rsid w:val="00E60073"/>
    <w:rsid w:val="00E6294C"/>
    <w:rsid w:val="00E639B6"/>
    <w:rsid w:val="00E6434B"/>
    <w:rsid w:val="00E6463D"/>
    <w:rsid w:val="00E65192"/>
    <w:rsid w:val="00E6521B"/>
    <w:rsid w:val="00E67043"/>
    <w:rsid w:val="00E710C6"/>
    <w:rsid w:val="00E71147"/>
    <w:rsid w:val="00E72E9B"/>
    <w:rsid w:val="00E7627A"/>
    <w:rsid w:val="00E82A0D"/>
    <w:rsid w:val="00E849DA"/>
    <w:rsid w:val="00E926FB"/>
    <w:rsid w:val="00E93EDD"/>
    <w:rsid w:val="00E9462E"/>
    <w:rsid w:val="00EA3555"/>
    <w:rsid w:val="00EA470E"/>
    <w:rsid w:val="00EA47A7"/>
    <w:rsid w:val="00EA57EB"/>
    <w:rsid w:val="00EB3166"/>
    <w:rsid w:val="00EB3226"/>
    <w:rsid w:val="00EC213A"/>
    <w:rsid w:val="00EC3551"/>
    <w:rsid w:val="00EC4015"/>
    <w:rsid w:val="00EC465C"/>
    <w:rsid w:val="00EC6603"/>
    <w:rsid w:val="00EC7744"/>
    <w:rsid w:val="00ED0DAD"/>
    <w:rsid w:val="00ED0F46"/>
    <w:rsid w:val="00ED2373"/>
    <w:rsid w:val="00ED3382"/>
    <w:rsid w:val="00EE2BAC"/>
    <w:rsid w:val="00EE3E8A"/>
    <w:rsid w:val="00EF44ED"/>
    <w:rsid w:val="00EF6ECA"/>
    <w:rsid w:val="00F024E1"/>
    <w:rsid w:val="00F06C10"/>
    <w:rsid w:val="00F1096F"/>
    <w:rsid w:val="00F12589"/>
    <w:rsid w:val="00F12595"/>
    <w:rsid w:val="00F134D9"/>
    <w:rsid w:val="00F13FD9"/>
    <w:rsid w:val="00F1403D"/>
    <w:rsid w:val="00F1463F"/>
    <w:rsid w:val="00F14902"/>
    <w:rsid w:val="00F17F53"/>
    <w:rsid w:val="00F21302"/>
    <w:rsid w:val="00F252EA"/>
    <w:rsid w:val="00F27D8B"/>
    <w:rsid w:val="00F27E89"/>
    <w:rsid w:val="00F309A0"/>
    <w:rsid w:val="00F312AD"/>
    <w:rsid w:val="00F321DE"/>
    <w:rsid w:val="00F33777"/>
    <w:rsid w:val="00F341BC"/>
    <w:rsid w:val="00F34F43"/>
    <w:rsid w:val="00F40648"/>
    <w:rsid w:val="00F47DA2"/>
    <w:rsid w:val="00F519FC"/>
    <w:rsid w:val="00F619BE"/>
    <w:rsid w:val="00F6239D"/>
    <w:rsid w:val="00F715D2"/>
    <w:rsid w:val="00F7274F"/>
    <w:rsid w:val="00F76155"/>
    <w:rsid w:val="00F76FA8"/>
    <w:rsid w:val="00F93F08"/>
    <w:rsid w:val="00F94CED"/>
    <w:rsid w:val="00F95440"/>
    <w:rsid w:val="00FA2CEE"/>
    <w:rsid w:val="00FA318C"/>
    <w:rsid w:val="00FA54A1"/>
    <w:rsid w:val="00FA7B9C"/>
    <w:rsid w:val="00FB0CA7"/>
    <w:rsid w:val="00FB6727"/>
    <w:rsid w:val="00FB6F92"/>
    <w:rsid w:val="00FC026E"/>
    <w:rsid w:val="00FC1189"/>
    <w:rsid w:val="00FC1E2E"/>
    <w:rsid w:val="00FC1ED6"/>
    <w:rsid w:val="00FC5124"/>
    <w:rsid w:val="00FC6FEF"/>
    <w:rsid w:val="00FD4731"/>
    <w:rsid w:val="00FF0AB0"/>
    <w:rsid w:val="00FF289F"/>
    <w:rsid w:val="00FF28AC"/>
    <w:rsid w:val="00FF4EB9"/>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41900E4"/>
  <w15:docId w15:val="{C75D342D-5734-4F06-B103-CE7372206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2" w:semiHidden="1" w:unhideWhenUsed="1"/>
    <w:lsdException w:name="List 3" w:semiHidden="1" w:unhideWhenUsed="1"/>
    <w:lsdException w:name="List Bullet 2" w:semiHidden="1" w:uiPriority="2"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751A23"/>
    <w:rPr>
      <w:rFonts w:ascii="Arial" w:hAnsi="Arial"/>
      <w:sz w:val="22"/>
      <w:szCs w:val="24"/>
      <w:lang w:eastAsia="en-US"/>
    </w:rPr>
  </w:style>
  <w:style w:type="paragraph" w:styleId="Heading1">
    <w:name w:val="heading 1"/>
    <w:basedOn w:val="Normal"/>
    <w:next w:val="Normal"/>
    <w:link w:val="Heading1Char"/>
    <w:qFormat/>
    <w:rsid w:val="009127BC"/>
    <w:pPr>
      <w:keepNext/>
      <w:spacing w:before="240" w:after="60"/>
      <w:outlineLvl w:val="0"/>
    </w:pPr>
    <w:rPr>
      <w:rFonts w:cs="Arial"/>
      <w:bCs/>
      <w:color w:val="3F4A75"/>
      <w:kern w:val="28"/>
      <w:sz w:val="36"/>
      <w:szCs w:val="36"/>
    </w:rPr>
  </w:style>
  <w:style w:type="paragraph" w:styleId="Heading2">
    <w:name w:val="heading 2"/>
    <w:next w:val="Paragraphtext"/>
    <w:link w:val="Heading2Char"/>
    <w:qFormat/>
    <w:rsid w:val="009127BC"/>
    <w:pPr>
      <w:keepNext/>
      <w:spacing w:before="240" w:after="60"/>
      <w:outlineLvl w:val="1"/>
    </w:pPr>
    <w:rPr>
      <w:rFonts w:ascii="Arial" w:hAnsi="Arial" w:cs="Arial"/>
      <w:bCs/>
      <w:iCs/>
      <w:color w:val="358189"/>
      <w:sz w:val="32"/>
      <w:szCs w:val="28"/>
      <w:lang w:eastAsia="en-US"/>
    </w:rPr>
  </w:style>
  <w:style w:type="paragraph" w:styleId="Heading3">
    <w:name w:val="heading 3"/>
    <w:next w:val="Normal"/>
    <w:qFormat/>
    <w:rsid w:val="009127BC"/>
    <w:pPr>
      <w:keepNext/>
      <w:spacing w:before="180" w:after="60"/>
      <w:outlineLvl w:val="2"/>
    </w:pPr>
    <w:rPr>
      <w:rFonts w:ascii="Arial" w:hAnsi="Arial" w:cs="Arial"/>
      <w:bCs/>
      <w:color w:val="358189"/>
      <w:sz w:val="28"/>
      <w:szCs w:val="26"/>
      <w:lang w:eastAsia="en-US"/>
    </w:rPr>
  </w:style>
  <w:style w:type="paragraph" w:styleId="Heading4">
    <w:name w:val="heading 4"/>
    <w:basedOn w:val="Normal"/>
    <w:next w:val="Normal"/>
    <w:link w:val="Heading4Char"/>
    <w:qFormat/>
    <w:rsid w:val="00027071"/>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1571C7"/>
    <w:pPr>
      <w:spacing w:before="120" w:after="60"/>
    </w:pPr>
    <w:rPr>
      <w:color w:val="000000" w:themeColor="text1"/>
      <w:sz w:val="21"/>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751A23"/>
    <w:pPr>
      <w:spacing w:before="2160" w:after="120"/>
      <w:contextualSpacing/>
    </w:pPr>
    <w:rPr>
      <w:rFonts w:eastAsiaTheme="majorEastAsia" w:cstheme="majorBidi"/>
      <w:b/>
      <w:color w:val="3F4A75"/>
      <w:kern w:val="28"/>
      <w:sz w:val="48"/>
      <w:szCs w:val="52"/>
    </w:rPr>
  </w:style>
  <w:style w:type="character" w:customStyle="1" w:styleId="TitleChar">
    <w:name w:val="Title Char"/>
    <w:basedOn w:val="DefaultParagraphFont"/>
    <w:link w:val="Title"/>
    <w:rsid w:val="00751A23"/>
    <w:rPr>
      <w:rFonts w:ascii="Arial" w:eastAsiaTheme="majorEastAsia" w:hAnsi="Arial" w:cstheme="majorBidi"/>
      <w:b/>
      <w:color w:val="3F4A75"/>
      <w:kern w:val="28"/>
      <w:sz w:val="48"/>
      <w:szCs w:val="52"/>
      <w:lang w:eastAsia="en-US"/>
    </w:rPr>
  </w:style>
  <w:style w:type="paragraph" w:styleId="NoSpacing">
    <w:name w:val="No Spacing"/>
    <w:uiPriority w:val="1"/>
    <w:rsid w:val="00A4512D"/>
    <w:rPr>
      <w:sz w:val="24"/>
      <w:szCs w:val="24"/>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rsid w:val="00A4512D"/>
    <w:pPr>
      <w:pBdr>
        <w:bottom w:val="single" w:sz="4" w:space="4" w:color="3F4A75" w:themeColor="accent1"/>
      </w:pBdr>
      <w:spacing w:before="200" w:after="280"/>
      <w:ind w:left="936" w:right="936"/>
    </w:pPr>
    <w:rPr>
      <w:b/>
      <w:bCs/>
      <w:i/>
      <w:iCs/>
      <w:color w:val="3F4A75" w:themeColor="accent1"/>
    </w:rPr>
  </w:style>
  <w:style w:type="character" w:customStyle="1" w:styleId="IntenseQuoteChar">
    <w:name w:val="Intense Quote Char"/>
    <w:basedOn w:val="DefaultParagraphFont"/>
    <w:link w:val="IntenseQuote"/>
    <w:uiPriority w:val="30"/>
    <w:rsid w:val="00A4512D"/>
    <w:rPr>
      <w:b/>
      <w:bCs/>
      <w:i/>
      <w:iCs/>
      <w:color w:val="3F4A75" w:themeColor="accent1"/>
      <w:sz w:val="24"/>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uiPriority w:val="2"/>
    <w:qFormat/>
    <w:rsid w:val="00211840"/>
    <w:pPr>
      <w:numPr>
        <w:numId w:val="16"/>
      </w:numPr>
      <w:ind w:left="568" w:hanging="284"/>
    </w:pPr>
  </w:style>
  <w:style w:type="paragraph" w:styleId="ListNumber2">
    <w:name w:val="List Number 2"/>
    <w:basedOn w:val="ListBullet"/>
    <w:qFormat/>
    <w:rsid w:val="00A56F17"/>
    <w:pPr>
      <w:numPr>
        <w:numId w:val="19"/>
      </w:numPr>
    </w:pPr>
  </w:style>
  <w:style w:type="paragraph" w:styleId="ListBullet">
    <w:name w:val="List Bullet"/>
    <w:basedOn w:val="Normal"/>
    <w:uiPriority w:val="2"/>
    <w:qFormat/>
    <w:rsid w:val="00A56F17"/>
    <w:pPr>
      <w:numPr>
        <w:numId w:val="17"/>
      </w:numPr>
      <w:spacing w:before="60" w:after="60"/>
    </w:pPr>
    <w:rPr>
      <w:color w:val="000000" w:themeColor="text1"/>
      <w:sz w:val="21"/>
    </w:rPr>
  </w:style>
  <w:style w:type="paragraph" w:styleId="ListParagraph">
    <w:name w:val="List Paragraph"/>
    <w:basedOn w:val="Normal"/>
    <w:uiPriority w:val="34"/>
    <w:qFormat/>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0B067A"/>
    <w:rPr>
      <w:rFonts w:ascii="Tahoma" w:hAnsi="Tahoma" w:cs="Tahoma"/>
      <w:sz w:val="16"/>
      <w:szCs w:val="16"/>
    </w:rPr>
  </w:style>
  <w:style w:type="character" w:customStyle="1" w:styleId="BalloonTextChar">
    <w:name w:val="Balloon Text Char"/>
    <w:basedOn w:val="DefaultParagraphFont"/>
    <w:link w:val="BalloonText"/>
    <w:rsid w:val="000B067A"/>
    <w:rPr>
      <w:rFonts w:ascii="Tahoma" w:hAnsi="Tahoma" w:cs="Tahoma"/>
      <w:sz w:val="16"/>
      <w:szCs w:val="16"/>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9127BC"/>
    <w:pPr>
      <w:spacing w:before="60" w:after="60"/>
    </w:pPr>
    <w:rPr>
      <w:rFonts w:ascii="Arial" w:hAnsi="Arial"/>
      <w:color w:val="000000" w:themeColor="text1"/>
      <w:sz w:val="21"/>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DC7910"/>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left"/>
    <w:qFormat/>
    <w:rsid w:val="00DC7910"/>
    <w:pPr>
      <w:spacing w:before="80" w:after="80"/>
    </w:pPr>
    <w:rPr>
      <w:rFonts w:eastAsia="Cambria"/>
      <w:b/>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pPr>
      <w:spacing w:before="120" w:after="120"/>
    </w:pPr>
    <w:rPr>
      <w:rFonts w:cs="Arial"/>
      <w:b/>
      <w:bCs/>
      <w:iCs/>
      <w:color w:val="000000" w:themeColor="text1"/>
      <w:szCs w:val="22"/>
    </w:rPr>
  </w:style>
  <w:style w:type="paragraph" w:styleId="NormalWeb">
    <w:name w:val="Normal (Web)"/>
    <w:basedOn w:val="Normal"/>
    <w:uiPriority w:val="99"/>
    <w:unhideWhenUsed/>
    <w:rsid w:val="00093981"/>
    <w:pPr>
      <w:spacing w:before="100" w:beforeAutospacing="1" w:after="100" w:afterAutospacing="1"/>
    </w:pPr>
    <w:rPr>
      <w:rFonts w:ascii="Times New Roman" w:hAnsi="Times New Roman"/>
      <w:sz w:val="24"/>
      <w:lang w:eastAsia="en-AU"/>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Heading1Purple">
    <w:name w:val="Heading 1 Purple"/>
    <w:basedOn w:val="Heading1"/>
    <w:next w:val="Paragraphtext"/>
    <w:rsid w:val="0091389F"/>
    <w:rPr>
      <w:color w:val="8D188D"/>
    </w:rPr>
  </w:style>
  <w:style w:type="paragraph" w:customStyle="1" w:styleId="Heading2Purple">
    <w:name w:val="Heading 2 Purple"/>
    <w:basedOn w:val="Heading2"/>
    <w:next w:val="Paragraphtext"/>
    <w:rsid w:val="00922722"/>
    <w:pPr>
      <w:spacing w:before="180"/>
    </w:pPr>
    <w:rPr>
      <w:color w:val="8D188D"/>
    </w:rPr>
  </w:style>
  <w:style w:type="paragraph" w:customStyle="1" w:styleId="Tablelistbullet">
    <w:name w:val="Table list bullet"/>
    <w:basedOn w:val="Tabletextleft"/>
    <w:qFormat/>
    <w:rsid w:val="00110478"/>
    <w:pPr>
      <w:numPr>
        <w:numId w:val="3"/>
      </w:numPr>
      <w:ind w:left="284" w:hanging="284"/>
    </w:pPr>
    <w:rPr>
      <w:szCs w:val="20"/>
    </w:rPr>
  </w:style>
  <w:style w:type="paragraph" w:customStyle="1" w:styleId="Tablelistnumber">
    <w:name w:val="Table list number"/>
    <w:basedOn w:val="Tabletextleft"/>
    <w:qFormat/>
    <w:rsid w:val="00DD2061"/>
    <w:pPr>
      <w:numPr>
        <w:numId w:val="4"/>
      </w:numPr>
    </w:pPr>
    <w:rPr>
      <w:bCs/>
      <w14:numSpacing w14:val="proportional"/>
    </w:rPr>
  </w:style>
  <w:style w:type="paragraph" w:customStyle="1" w:styleId="TableHeader">
    <w:name w:val="Table Header"/>
    <w:basedOn w:val="Normal"/>
    <w:next w:val="Tabletextleft"/>
    <w:qFormat/>
    <w:rsid w:val="00DC2313"/>
    <w:pPr>
      <w:spacing w:before="80" w:after="80"/>
    </w:pPr>
    <w:rPr>
      <w:rFonts w:eastAsia="Cambria"/>
      <w:b/>
      <w:color w:val="FFFFFF" w:themeColor="background1"/>
      <w:szCs w:val="22"/>
      <w:lang w:val="en-US"/>
    </w:rPr>
  </w:style>
  <w:style w:type="paragraph" w:customStyle="1" w:styleId="SectionHeading">
    <w:name w:val="Section Heading"/>
    <w:basedOn w:val="Heading1"/>
    <w:next w:val="Paragraphtext"/>
    <w:rsid w:val="00CE6502"/>
    <w:rPr>
      <w:szCs w:val="32"/>
    </w:rPr>
  </w:style>
  <w:style w:type="paragraph" w:customStyle="1" w:styleId="Heading1Orange">
    <w:name w:val="Heading 1 Orange"/>
    <w:basedOn w:val="Heading1"/>
    <w:next w:val="Paragraphtext"/>
    <w:rsid w:val="00AB1EE7"/>
    <w:rPr>
      <w:color w:val="D72F0D"/>
    </w:rPr>
  </w:style>
  <w:style w:type="paragraph" w:customStyle="1" w:styleId="Heading2Orange">
    <w:name w:val="Heading 2 Orange"/>
    <w:basedOn w:val="Heading2"/>
    <w:rsid w:val="00AB1EE7"/>
    <w:rPr>
      <w:color w:val="D72F0D"/>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styleId="Caption">
    <w:name w:val="caption"/>
    <w:basedOn w:val="Normal"/>
    <w:next w:val="Normal"/>
    <w:unhideWhenUsed/>
    <w:rsid w:val="00E6463D"/>
    <w:pPr>
      <w:spacing w:after="200"/>
    </w:pPr>
    <w:rPr>
      <w:b/>
      <w:bCs/>
      <w:color w:val="3F4A75" w:themeColor="accent1"/>
      <w:sz w:val="18"/>
      <w:szCs w:val="18"/>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table" w:customStyle="1" w:styleId="DepartmentofHealthtable">
    <w:name w:val="Department of Health table"/>
    <w:basedOn w:val="TableNormal"/>
    <w:uiPriority w:val="99"/>
    <w:rsid w:val="00DC2313"/>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DC7910"/>
    <w:rPr>
      <w:rFonts w:ascii="Arial" w:hAnsi="Arial"/>
      <w:b/>
      <w:color w:val="000000" w:themeColor="text1"/>
      <w:sz w:val="22"/>
      <w:szCs w:val="24"/>
      <w:lang w:val="en-US" w:eastAsia="en-US"/>
    </w:rPr>
  </w:style>
  <w:style w:type="paragraph" w:customStyle="1" w:styleId="IntroPara">
    <w:name w:val="Intro Para"/>
    <w:basedOn w:val="Paragraphtext"/>
    <w:next w:val="Paragraphtext"/>
    <w:qFormat/>
    <w:rsid w:val="009127BC"/>
    <w:pPr>
      <w:spacing w:before="480" w:line="400" w:lineRule="exact"/>
    </w:pPr>
    <w:rPr>
      <w:color w:val="358189"/>
      <w:sz w:val="28"/>
    </w:rPr>
  </w:style>
  <w:style w:type="paragraph" w:customStyle="1" w:styleId="TableTextright">
    <w:name w:val="Table Text right"/>
    <w:basedOn w:val="Tabletextleft"/>
    <w:rsid w:val="009127BC"/>
    <w:pPr>
      <w:jc w:val="right"/>
    </w:pPr>
  </w:style>
  <w:style w:type="paragraph" w:customStyle="1" w:styleId="Tabletextright0">
    <w:name w:val="Table text right"/>
    <w:basedOn w:val="Tabletextleft"/>
    <w:rsid w:val="009127BC"/>
    <w:pPr>
      <w:jc w:val="right"/>
    </w:pPr>
  </w:style>
  <w:style w:type="paragraph" w:customStyle="1" w:styleId="Tabletextcentre">
    <w:name w:val="Table text centre"/>
    <w:basedOn w:val="Tabletextleft"/>
    <w:rsid w:val="009127BC"/>
    <w:pPr>
      <w:jc w:val="center"/>
    </w:pPr>
  </w:style>
  <w:style w:type="paragraph" w:customStyle="1" w:styleId="Boxheading">
    <w:name w:val="Box heading"/>
    <w:basedOn w:val="Boxtype"/>
    <w:rsid w:val="00CA4BE3"/>
    <w:pPr>
      <w:spacing w:before="240"/>
    </w:pPr>
    <w:rPr>
      <w:rFonts w:cs="Times New Roman"/>
      <w:b/>
      <w:bCs/>
      <w:caps/>
      <w:color w:val="358189"/>
      <w:szCs w:val="20"/>
    </w:rPr>
  </w:style>
  <w:style w:type="paragraph" w:customStyle="1" w:styleId="Boxtype">
    <w:name w:val="Box type"/>
    <w:next w:val="Normal"/>
    <w:qFormat/>
    <w:rsid w:val="00CA4BE3"/>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styleId="CommentReference">
    <w:name w:val="annotation reference"/>
    <w:basedOn w:val="DefaultParagraphFont"/>
    <w:semiHidden/>
    <w:unhideWhenUsed/>
    <w:rsid w:val="0055475F"/>
    <w:rPr>
      <w:sz w:val="16"/>
      <w:szCs w:val="16"/>
    </w:rPr>
  </w:style>
  <w:style w:type="paragraph" w:styleId="CommentText">
    <w:name w:val="annotation text"/>
    <w:basedOn w:val="Normal"/>
    <w:link w:val="CommentTextChar"/>
    <w:unhideWhenUsed/>
    <w:rsid w:val="0055475F"/>
    <w:rPr>
      <w:sz w:val="20"/>
      <w:szCs w:val="20"/>
    </w:rPr>
  </w:style>
  <w:style w:type="character" w:customStyle="1" w:styleId="CommentTextChar">
    <w:name w:val="Comment Text Char"/>
    <w:basedOn w:val="DefaultParagraphFont"/>
    <w:link w:val="CommentText"/>
    <w:rsid w:val="0055475F"/>
    <w:rPr>
      <w:rFonts w:ascii="Arial" w:hAnsi="Arial"/>
      <w:lang w:eastAsia="en-US"/>
    </w:rPr>
  </w:style>
  <w:style w:type="paragraph" w:styleId="CommentSubject">
    <w:name w:val="annotation subject"/>
    <w:basedOn w:val="CommentText"/>
    <w:next w:val="CommentText"/>
    <w:link w:val="CommentSubjectChar"/>
    <w:semiHidden/>
    <w:unhideWhenUsed/>
    <w:rsid w:val="0055475F"/>
    <w:rPr>
      <w:b/>
      <w:bCs/>
    </w:rPr>
  </w:style>
  <w:style w:type="character" w:customStyle="1" w:styleId="CommentSubjectChar">
    <w:name w:val="Comment Subject Char"/>
    <w:basedOn w:val="CommentTextChar"/>
    <w:link w:val="CommentSubject"/>
    <w:semiHidden/>
    <w:rsid w:val="0055475F"/>
    <w:rPr>
      <w:rFonts w:ascii="Arial" w:hAnsi="Arial"/>
      <w:b/>
      <w:bCs/>
      <w:lang w:eastAsia="en-US"/>
    </w:rPr>
  </w:style>
  <w:style w:type="paragraph" w:styleId="Revision">
    <w:name w:val="Revision"/>
    <w:hidden/>
    <w:uiPriority w:val="99"/>
    <w:semiHidden/>
    <w:rsid w:val="006C4B30"/>
    <w:rPr>
      <w:rFonts w:ascii="Arial" w:hAnsi="Arial"/>
      <w:sz w:val="22"/>
      <w:szCs w:val="24"/>
      <w:lang w:eastAsia="en-US"/>
    </w:rPr>
  </w:style>
  <w:style w:type="character" w:customStyle="1" w:styleId="Heading1Char">
    <w:name w:val="Heading 1 Char"/>
    <w:basedOn w:val="DefaultParagraphFont"/>
    <w:link w:val="Heading1"/>
    <w:rsid w:val="004817FA"/>
    <w:rPr>
      <w:rFonts w:ascii="Arial" w:hAnsi="Arial" w:cs="Arial"/>
      <w:bCs/>
      <w:color w:val="3F4A75"/>
      <w:kern w:val="28"/>
      <w:sz w:val="36"/>
      <w:szCs w:val="36"/>
      <w:lang w:eastAsia="en-US"/>
    </w:rPr>
  </w:style>
  <w:style w:type="table" w:styleId="PlainTable2">
    <w:name w:val="Plain Table 2"/>
    <w:basedOn w:val="TableNormal"/>
    <w:uiPriority w:val="42"/>
    <w:rsid w:val="00376A20"/>
    <w:rPr>
      <w:rFonts w:eastAsiaTheme="minorHAnsi"/>
      <w:sz w:val="24"/>
      <w:szCs w:val="24"/>
      <w:lang w:eastAsia="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OCHeading">
    <w:name w:val="TOC Heading"/>
    <w:basedOn w:val="Heading1"/>
    <w:next w:val="Normal"/>
    <w:uiPriority w:val="39"/>
    <w:unhideWhenUsed/>
    <w:qFormat/>
    <w:rsid w:val="00CB104E"/>
    <w:pPr>
      <w:keepLines/>
      <w:spacing w:after="0" w:line="259" w:lineRule="auto"/>
      <w:outlineLvl w:val="9"/>
    </w:pPr>
    <w:rPr>
      <w:rFonts w:asciiTheme="majorHAnsi" w:eastAsiaTheme="majorEastAsia" w:hAnsiTheme="majorHAnsi" w:cstheme="majorBidi"/>
      <w:bCs w:val="0"/>
      <w:color w:val="2F3757" w:themeColor="accent1" w:themeShade="BF"/>
      <w:kern w:val="0"/>
      <w:sz w:val="32"/>
      <w:szCs w:val="32"/>
      <w:lang w:val="en-US"/>
    </w:rPr>
  </w:style>
  <w:style w:type="paragraph" w:styleId="TOC1">
    <w:name w:val="toc 1"/>
    <w:basedOn w:val="Normal"/>
    <w:next w:val="Normal"/>
    <w:autoRedefine/>
    <w:uiPriority w:val="39"/>
    <w:unhideWhenUsed/>
    <w:rsid w:val="00CB104E"/>
    <w:pPr>
      <w:spacing w:after="100"/>
    </w:pPr>
  </w:style>
  <w:style w:type="paragraph" w:styleId="TOC3">
    <w:name w:val="toc 3"/>
    <w:basedOn w:val="Normal"/>
    <w:next w:val="Normal"/>
    <w:autoRedefine/>
    <w:uiPriority w:val="39"/>
    <w:unhideWhenUsed/>
    <w:rsid w:val="00CB104E"/>
    <w:pPr>
      <w:spacing w:after="100"/>
      <w:ind w:left="440"/>
    </w:pPr>
  </w:style>
  <w:style w:type="character" w:customStyle="1" w:styleId="Heading2Char">
    <w:name w:val="Heading 2 Char"/>
    <w:basedOn w:val="DefaultParagraphFont"/>
    <w:link w:val="Heading2"/>
    <w:rsid w:val="00CB104E"/>
    <w:rPr>
      <w:rFonts w:ascii="Arial" w:hAnsi="Arial" w:cs="Arial"/>
      <w:bCs/>
      <w:iCs/>
      <w:color w:val="358189"/>
      <w:sz w:val="32"/>
      <w:szCs w:val="28"/>
      <w:lang w:eastAsia="en-US"/>
    </w:rPr>
  </w:style>
  <w:style w:type="table" w:customStyle="1" w:styleId="TableTGAblack">
    <w:name w:val="Table TGA black"/>
    <w:basedOn w:val="TableNormal"/>
    <w:uiPriority w:val="99"/>
    <w:rsid w:val="00CB104E"/>
    <w:pPr>
      <w:spacing w:before="60"/>
    </w:pPr>
    <w:rPr>
      <w:rFonts w:ascii="Cambria" w:eastAsia="Cambria" w:hAnsi="Cambria"/>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keepNext/>
        <w:wordWrap/>
      </w:pPr>
      <w:rPr>
        <w:rFonts w:ascii="Malgun Gothic" w:hAnsi="Malgun Gothic"/>
        <w:b/>
        <w:color w:val="FFFFFF"/>
        <w:sz w:val="22"/>
      </w:rPr>
      <w:tblPr/>
      <w:trPr>
        <w:tblHeader/>
      </w:trPr>
      <w:tcPr>
        <w:shd w:val="clear" w:color="auto" w:fill="000000"/>
      </w:tcPr>
    </w:tblStylePr>
    <w:tblStylePr w:type="lastRow">
      <w:rPr>
        <w:b w:val="0"/>
      </w:rPr>
    </w:tblStylePr>
    <w:tblStylePr w:type="firstCol">
      <w:pPr>
        <w:keepNext w:val="0"/>
        <w:wordWrap/>
      </w:pPr>
    </w:tblStylePr>
    <w:tblStylePr w:type="neCell">
      <w:rPr>
        <w:b w:val="0"/>
        <w:i w:val="0"/>
      </w:rPr>
    </w:tblStylePr>
    <w:tblStylePr w:type="nwCell">
      <w:rPr>
        <w:rFonts w:ascii="Malgun Gothic" w:hAnsi="Malgun Gothic"/>
        <w:b/>
        <w:i w:val="0"/>
        <w:color w:val="FFFFFF"/>
        <w:sz w:val="22"/>
      </w:rPr>
    </w:tblStylePr>
  </w:style>
  <w:style w:type="paragraph" w:customStyle="1" w:styleId="NonTOCheading2">
    <w:name w:val="Non TOC heading 2"/>
    <w:basedOn w:val="Normal"/>
    <w:next w:val="Normal"/>
    <w:rsid w:val="00CB104E"/>
    <w:pPr>
      <w:keepNext/>
      <w:keepLines/>
      <w:spacing w:before="360" w:after="180" w:line="240" w:lineRule="atLeast"/>
    </w:pPr>
    <w:rPr>
      <w:rFonts w:eastAsia="Cambria"/>
      <w:b/>
      <w:color w:val="393939" w:themeColor="background2" w:themeShade="40"/>
      <w:sz w:val="38"/>
      <w:szCs w:val="20"/>
    </w:rPr>
  </w:style>
  <w:style w:type="paragraph" w:customStyle="1" w:styleId="TGASignoff">
    <w:name w:val="TGA Signoff"/>
    <w:basedOn w:val="Normal"/>
    <w:rsid w:val="00CB104E"/>
    <w:pPr>
      <w:spacing w:before="120" w:after="360" w:line="240" w:lineRule="atLeast"/>
      <w:jc w:val="center"/>
    </w:pPr>
    <w:rPr>
      <w:rFonts w:eastAsia="Cambria"/>
      <w:b/>
      <w:color w:val="393939" w:themeColor="background2" w:themeShade="40"/>
      <w:sz w:val="28"/>
      <w:szCs w:val="20"/>
    </w:rPr>
  </w:style>
  <w:style w:type="character" w:customStyle="1" w:styleId="Heading4Char">
    <w:name w:val="Heading 4 Char"/>
    <w:basedOn w:val="DefaultParagraphFont"/>
    <w:link w:val="Heading4"/>
    <w:rsid w:val="00CB104E"/>
    <w:rPr>
      <w:rFonts w:ascii="Arial" w:hAnsi="Arial"/>
      <w:b/>
      <w:bCs/>
      <w:i/>
      <w:color w:val="414141"/>
      <w:sz w:val="24"/>
      <w:szCs w:val="28"/>
      <w:lang w:eastAsia="en-US"/>
    </w:rPr>
  </w:style>
  <w:style w:type="paragraph" w:styleId="TOC2">
    <w:name w:val="toc 2"/>
    <w:basedOn w:val="Normal"/>
    <w:next w:val="Normal"/>
    <w:autoRedefine/>
    <w:uiPriority w:val="39"/>
    <w:unhideWhenUsed/>
    <w:rsid w:val="006868C8"/>
    <w:pPr>
      <w:spacing w:after="100"/>
      <w:ind w:left="220"/>
    </w:pPr>
  </w:style>
  <w:style w:type="character" w:styleId="UnresolvedMention">
    <w:name w:val="Unresolved Mention"/>
    <w:basedOn w:val="DefaultParagraphFont"/>
    <w:uiPriority w:val="99"/>
    <w:semiHidden/>
    <w:unhideWhenUsed/>
    <w:rsid w:val="00A054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839932272">
      <w:bodyDiv w:val="1"/>
      <w:marLeft w:val="0"/>
      <w:marRight w:val="0"/>
      <w:marTop w:val="0"/>
      <w:marBottom w:val="0"/>
      <w:divBdr>
        <w:top w:val="none" w:sz="0" w:space="0" w:color="auto"/>
        <w:left w:val="none" w:sz="0" w:space="0" w:color="auto"/>
        <w:bottom w:val="none" w:sz="0" w:space="0" w:color="auto"/>
        <w:right w:val="none" w:sz="0" w:space="0" w:color="auto"/>
      </w:divBdr>
      <w:divsChild>
        <w:div w:id="58480253">
          <w:marLeft w:val="446"/>
          <w:marRight w:val="0"/>
          <w:marTop w:val="0"/>
          <w:marBottom w:val="0"/>
          <w:divBdr>
            <w:top w:val="none" w:sz="0" w:space="0" w:color="auto"/>
            <w:left w:val="none" w:sz="0" w:space="0" w:color="auto"/>
            <w:bottom w:val="none" w:sz="0" w:space="0" w:color="auto"/>
            <w:right w:val="none" w:sz="0" w:space="0" w:color="auto"/>
          </w:divBdr>
        </w:div>
        <w:div w:id="1923103246">
          <w:marLeft w:val="446"/>
          <w:marRight w:val="0"/>
          <w:marTop w:val="0"/>
          <w:marBottom w:val="0"/>
          <w:divBdr>
            <w:top w:val="none" w:sz="0" w:space="0" w:color="auto"/>
            <w:left w:val="none" w:sz="0" w:space="0" w:color="auto"/>
            <w:bottom w:val="none" w:sz="0" w:space="0" w:color="auto"/>
            <w:right w:val="none" w:sz="0" w:space="0" w:color="auto"/>
          </w:divBdr>
        </w:div>
      </w:divsChild>
    </w:div>
    <w:div w:id="91582314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306006266">
      <w:bodyDiv w:val="1"/>
      <w:marLeft w:val="0"/>
      <w:marRight w:val="0"/>
      <w:marTop w:val="0"/>
      <w:marBottom w:val="0"/>
      <w:divBdr>
        <w:top w:val="none" w:sz="0" w:space="0" w:color="auto"/>
        <w:left w:val="none" w:sz="0" w:space="0" w:color="auto"/>
        <w:bottom w:val="none" w:sz="0" w:space="0" w:color="auto"/>
        <w:right w:val="none" w:sz="0" w:space="0" w:color="auto"/>
      </w:divBdr>
    </w:div>
    <w:div w:id="1306163964">
      <w:bodyDiv w:val="1"/>
      <w:marLeft w:val="0"/>
      <w:marRight w:val="0"/>
      <w:marTop w:val="0"/>
      <w:marBottom w:val="0"/>
      <w:divBdr>
        <w:top w:val="none" w:sz="0" w:space="0" w:color="auto"/>
        <w:left w:val="none" w:sz="0" w:space="0" w:color="auto"/>
        <w:bottom w:val="none" w:sz="0" w:space="0" w:color="auto"/>
        <w:right w:val="none" w:sz="0" w:space="0" w:color="auto"/>
      </w:divBdr>
    </w:div>
    <w:div w:id="1443185315">
      <w:bodyDiv w:val="1"/>
      <w:marLeft w:val="0"/>
      <w:marRight w:val="0"/>
      <w:marTop w:val="0"/>
      <w:marBottom w:val="0"/>
      <w:divBdr>
        <w:top w:val="none" w:sz="0" w:space="0" w:color="auto"/>
        <w:left w:val="none" w:sz="0" w:space="0" w:color="auto"/>
        <w:bottom w:val="none" w:sz="0" w:space="0" w:color="auto"/>
        <w:right w:val="none" w:sz="0" w:space="0" w:color="auto"/>
      </w:divBdr>
    </w:div>
    <w:div w:id="1598633203">
      <w:bodyDiv w:val="1"/>
      <w:marLeft w:val="0"/>
      <w:marRight w:val="0"/>
      <w:marTop w:val="0"/>
      <w:marBottom w:val="0"/>
      <w:divBdr>
        <w:top w:val="none" w:sz="0" w:space="0" w:color="auto"/>
        <w:left w:val="none" w:sz="0" w:space="0" w:color="auto"/>
        <w:bottom w:val="none" w:sz="0" w:space="0" w:color="auto"/>
        <w:right w:val="none" w:sz="0" w:space="0" w:color="auto"/>
      </w:divBdr>
      <w:divsChild>
        <w:div w:id="2084183690">
          <w:marLeft w:val="360"/>
          <w:marRight w:val="0"/>
          <w:marTop w:val="200"/>
          <w:marBottom w:val="0"/>
          <w:divBdr>
            <w:top w:val="none" w:sz="0" w:space="0" w:color="auto"/>
            <w:left w:val="none" w:sz="0" w:space="0" w:color="auto"/>
            <w:bottom w:val="none" w:sz="0" w:space="0" w:color="auto"/>
            <w:right w:val="none" w:sz="0" w:space="0" w:color="auto"/>
          </w:divBdr>
        </w:div>
        <w:div w:id="1597977411">
          <w:marLeft w:val="1080"/>
          <w:marRight w:val="0"/>
          <w:marTop w:val="100"/>
          <w:marBottom w:val="0"/>
          <w:divBdr>
            <w:top w:val="none" w:sz="0" w:space="0" w:color="auto"/>
            <w:left w:val="none" w:sz="0" w:space="0" w:color="auto"/>
            <w:bottom w:val="none" w:sz="0" w:space="0" w:color="auto"/>
            <w:right w:val="none" w:sz="0" w:space="0" w:color="auto"/>
          </w:divBdr>
        </w:div>
        <w:div w:id="1012340491">
          <w:marLeft w:val="1080"/>
          <w:marRight w:val="0"/>
          <w:marTop w:val="100"/>
          <w:marBottom w:val="0"/>
          <w:divBdr>
            <w:top w:val="none" w:sz="0" w:space="0" w:color="auto"/>
            <w:left w:val="none" w:sz="0" w:space="0" w:color="auto"/>
            <w:bottom w:val="none" w:sz="0" w:space="0" w:color="auto"/>
            <w:right w:val="none" w:sz="0" w:space="0" w:color="auto"/>
          </w:divBdr>
        </w:div>
        <w:div w:id="1240366368">
          <w:marLeft w:val="1080"/>
          <w:marRight w:val="0"/>
          <w:marTop w:val="100"/>
          <w:marBottom w:val="0"/>
          <w:divBdr>
            <w:top w:val="none" w:sz="0" w:space="0" w:color="auto"/>
            <w:left w:val="none" w:sz="0" w:space="0" w:color="auto"/>
            <w:bottom w:val="none" w:sz="0" w:space="0" w:color="auto"/>
            <w:right w:val="none" w:sz="0" w:space="0" w:color="auto"/>
          </w:divBdr>
        </w:div>
        <w:div w:id="1983923122">
          <w:marLeft w:val="1080"/>
          <w:marRight w:val="0"/>
          <w:marTop w:val="100"/>
          <w:marBottom w:val="0"/>
          <w:divBdr>
            <w:top w:val="none" w:sz="0" w:space="0" w:color="auto"/>
            <w:left w:val="none" w:sz="0" w:space="0" w:color="auto"/>
            <w:bottom w:val="none" w:sz="0" w:space="0" w:color="auto"/>
            <w:right w:val="none" w:sz="0" w:space="0" w:color="auto"/>
          </w:divBdr>
        </w:div>
        <w:div w:id="1487823932">
          <w:marLeft w:val="1080"/>
          <w:marRight w:val="0"/>
          <w:marTop w:val="100"/>
          <w:marBottom w:val="0"/>
          <w:divBdr>
            <w:top w:val="none" w:sz="0" w:space="0" w:color="auto"/>
            <w:left w:val="none" w:sz="0" w:space="0" w:color="auto"/>
            <w:bottom w:val="none" w:sz="0" w:space="0" w:color="auto"/>
            <w:right w:val="none" w:sz="0" w:space="0" w:color="auto"/>
          </w:divBdr>
        </w:div>
        <w:div w:id="970983430">
          <w:marLeft w:val="1080"/>
          <w:marRight w:val="0"/>
          <w:marTop w:val="100"/>
          <w:marBottom w:val="0"/>
          <w:divBdr>
            <w:top w:val="none" w:sz="0" w:space="0" w:color="auto"/>
            <w:left w:val="none" w:sz="0" w:space="0" w:color="auto"/>
            <w:bottom w:val="none" w:sz="0" w:space="0" w:color="auto"/>
            <w:right w:val="none" w:sz="0" w:space="0" w:color="auto"/>
          </w:divBdr>
        </w:div>
      </w:divsChild>
    </w:div>
    <w:div w:id="1658613569">
      <w:bodyDiv w:val="1"/>
      <w:marLeft w:val="0"/>
      <w:marRight w:val="0"/>
      <w:marTop w:val="0"/>
      <w:marBottom w:val="0"/>
      <w:divBdr>
        <w:top w:val="none" w:sz="0" w:space="0" w:color="auto"/>
        <w:left w:val="none" w:sz="0" w:space="0" w:color="auto"/>
        <w:bottom w:val="none" w:sz="0" w:space="0" w:color="auto"/>
        <w:right w:val="none" w:sz="0" w:space="0" w:color="auto"/>
      </w:divBdr>
      <w:divsChild>
        <w:div w:id="1577006967">
          <w:marLeft w:val="446"/>
          <w:marRight w:val="0"/>
          <w:marTop w:val="0"/>
          <w:marBottom w:val="0"/>
          <w:divBdr>
            <w:top w:val="none" w:sz="0" w:space="0" w:color="auto"/>
            <w:left w:val="none" w:sz="0" w:space="0" w:color="auto"/>
            <w:bottom w:val="none" w:sz="0" w:space="0" w:color="auto"/>
            <w:right w:val="none" w:sz="0" w:space="0" w:color="auto"/>
          </w:divBdr>
        </w:div>
        <w:div w:id="101851602">
          <w:marLeft w:val="446"/>
          <w:marRight w:val="0"/>
          <w:marTop w:val="0"/>
          <w:marBottom w:val="0"/>
          <w:divBdr>
            <w:top w:val="none" w:sz="0" w:space="0" w:color="auto"/>
            <w:left w:val="none" w:sz="0" w:space="0" w:color="auto"/>
            <w:bottom w:val="none" w:sz="0" w:space="0" w:color="auto"/>
            <w:right w:val="none" w:sz="0" w:space="0" w:color="auto"/>
          </w:divBdr>
        </w:div>
        <w:div w:id="1881356910">
          <w:marLeft w:val="446"/>
          <w:marRight w:val="0"/>
          <w:marTop w:val="0"/>
          <w:marBottom w:val="0"/>
          <w:divBdr>
            <w:top w:val="none" w:sz="0" w:space="0" w:color="auto"/>
            <w:left w:val="none" w:sz="0" w:space="0" w:color="auto"/>
            <w:bottom w:val="none" w:sz="0" w:space="0" w:color="auto"/>
            <w:right w:val="none" w:sz="0" w:space="0" w:color="auto"/>
          </w:divBdr>
        </w:div>
        <w:div w:id="1209880262">
          <w:marLeft w:val="446"/>
          <w:marRight w:val="0"/>
          <w:marTop w:val="0"/>
          <w:marBottom w:val="0"/>
          <w:divBdr>
            <w:top w:val="none" w:sz="0" w:space="0" w:color="auto"/>
            <w:left w:val="none" w:sz="0" w:space="0" w:color="auto"/>
            <w:bottom w:val="none" w:sz="0" w:space="0" w:color="auto"/>
            <w:right w:val="none" w:sz="0" w:space="0" w:color="auto"/>
          </w:divBdr>
        </w:div>
        <w:div w:id="338508568">
          <w:marLeft w:val="446"/>
          <w:marRight w:val="0"/>
          <w:marTop w:val="0"/>
          <w:marBottom w:val="0"/>
          <w:divBdr>
            <w:top w:val="none" w:sz="0" w:space="0" w:color="auto"/>
            <w:left w:val="none" w:sz="0" w:space="0" w:color="auto"/>
            <w:bottom w:val="none" w:sz="0" w:space="0" w:color="auto"/>
            <w:right w:val="none" w:sz="0" w:space="0" w:color="auto"/>
          </w:divBdr>
        </w:div>
        <w:div w:id="1276713261">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CS@health.gov.a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S@health.gov.au"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dc.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templates\templates\User%20templates\Department%20of%20Health%20-%20Short%20document%20template.dotx" TargetMode="External"/></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tranet Document" ma:contentTypeID="0x010100D187BEFF042AB247BFDAEBCEDD44B1C00095B49DA94573E042B2F386EB369D3E46" ma:contentTypeVersion="6" ma:contentTypeDescription="Use this template to create a new Intranet Document" ma:contentTypeScope="" ma:versionID="02a5e495f82b5560465d9612e43a99b5">
  <xsd:schema xmlns:xsd="http://www.w3.org/2001/XMLSchema" xmlns:xs="http://www.w3.org/2001/XMLSchema" xmlns:p="http://schemas.microsoft.com/office/2006/metadata/properties" xmlns:ns2="b26f12c0-2397-4242-8c80-fd768a193b91" targetNamespace="http://schemas.microsoft.com/office/2006/metadata/properties" ma:root="true" ma:fieldsID="52b480a199e2418fc85399c8ace7daef" ns2:_="">
    <xsd:import namespace="b26f12c0-2397-4242-8c80-fd768a193b91"/>
    <xsd:element name="properties">
      <xsd:complexType>
        <xsd:sequence>
          <xsd:element name="documentManagement">
            <xsd:complexType>
              <xsd:all>
                <xsd:element ref="ns2:k9e62685be2c405f85feeb7d59bccd54"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6f12c0-2397-4242-8c80-fd768a193b91" elementFormDefault="qualified">
    <xsd:import namespace="http://schemas.microsoft.com/office/2006/documentManagement/types"/>
    <xsd:import namespace="http://schemas.microsoft.com/office/infopath/2007/PartnerControls"/>
    <xsd:element name="k9e62685be2c405f85feeb7d59bccd54" ma:index="8" nillable="true" ma:taxonomy="true" ma:internalName="k9e62685be2c405f85feeb7d59bccd54" ma:taxonomyFieldName="IntranetTopics" ma:displayName="Intranet Topics" ma:readOnly="false" ma:default="" ma:fieldId="{49e62685-be2c-405f-85fe-eb7d59bccd54}" ma:taxonomyMulti="true" ma:sspId="f2f65582-1933-475e-97e6-ecaac437d71e" ma:termSetId="1a61460b-a038-4df9-a301-e1c01aaddbcd" ma:anchorId="00000000-0000-0000-0000-000000000000" ma:open="true" ma:isKeyword="false">
      <xsd:complexType>
        <xsd:sequence>
          <xsd:element ref="pc:Terms" minOccurs="0" maxOccurs="1"/>
        </xsd:sequence>
      </xsd:complexType>
    </xsd:element>
    <xsd:element name="TaxCatchAll" ma:index="9" nillable="true" ma:displayName="Taxonomy Catch All Column" ma:hidden="true" ma:list="{4ef1f974-7099-405e-9af7-5c384f03feb5}" ma:internalName="TaxCatchAll" ma:showField="CatchAllData" ma:web="28093982-a616-49b5-b657-c9f81c6a5c48">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4ef1f974-7099-405e-9af7-5c384f03feb5}" ma:internalName="TaxCatchAllLabel" ma:readOnly="true" ma:showField="CatchAllDataLabel" ma:web="28093982-a616-49b5-b657-c9f81c6a5c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k9e62685be2c405f85feeb7d59bccd54 xmlns="b26f12c0-2397-4242-8c80-fd768a193b91">
      <Terms xmlns="http://schemas.microsoft.com/office/infopath/2007/PartnerControls"/>
    </k9e62685be2c405f85feeb7d59bccd54>
    <TaxCatchAll xmlns="b26f12c0-2397-4242-8c80-fd768a193b91"/>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0B23EB-32CF-4398-B4F2-E241692A44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6f12c0-2397-4242-8c80-fd768a193b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3.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b26f12c0-2397-4242-8c80-fd768a193b91"/>
  </ds:schemaRefs>
</ds:datastoreItem>
</file>

<file path=customXml/itemProps4.xml><?xml version="1.0" encoding="utf-8"?>
<ds:datastoreItem xmlns:ds="http://schemas.openxmlformats.org/officeDocument/2006/customXml" ds:itemID="{288E92BD-BF1B-4311-8864-A6E3F59A8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of Health - Short document template.dotx</Template>
  <TotalTime>6</TotalTime>
  <Pages>11</Pages>
  <Words>1943</Words>
  <Characters>12472</Characters>
  <Application>Microsoft Office Word</Application>
  <DocSecurity>0</DocSecurity>
  <Lines>277</Lines>
  <Paragraphs>160</Paragraphs>
  <ScaleCrop>false</ScaleCrop>
  <HeadingPairs>
    <vt:vector size="2" baseType="variant">
      <vt:variant>
        <vt:lpstr>Title</vt:lpstr>
      </vt:variant>
      <vt:variant>
        <vt:i4>1</vt:i4>
      </vt:variant>
    </vt:vector>
  </HeadingPairs>
  <TitlesOfParts>
    <vt:vector size="1" baseType="lpstr">
      <vt:lpstr>Office of Drug Control Business Plan :2022-23</vt:lpstr>
    </vt:vector>
  </TitlesOfParts>
  <Company>Deptartment of Health and Aged Care</Company>
  <LinksUpToDate>false</LinksUpToDate>
  <CharactersWithSpaces>14255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 of Drug Control Business Plan :2022-23</dc:title>
  <dc:subject>business plan</dc:subject>
  <dc:creator>Office of Drug Control</dc:creator>
  <cp:lastModifiedBy>LACK, Janet</cp:lastModifiedBy>
  <cp:revision>3</cp:revision>
  <cp:lastPrinted>2022-08-28T23:24:00Z</cp:lastPrinted>
  <dcterms:created xsi:type="dcterms:W3CDTF">2022-09-07T06:11:00Z</dcterms:created>
  <dcterms:modified xsi:type="dcterms:W3CDTF">2022-09-07T06:15:00Z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0x010100D187BEFF042AB247BFDAEBCEDD44B1C00095B49DA94573E042B2F386EB369D3E46</vt:lpwstr>
  </property>
</Properties>
</file>